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Helvetica" w:hAnsi="Helvetica"/>
          <w:b/>
          <w:bCs/>
          <w:sz w:val="50"/>
          <w:szCs w:val="50"/>
        </w:rPr>
      </w:pPr>
      <w:r>
        <w:rPr>
          <w:rFonts w:ascii="Helvetica" w:hAnsi="Helvetica"/>
          <w:b/>
          <w:bCs/>
          <w:sz w:val="50"/>
          <w:szCs w:val="50"/>
        </w:rPr>
      </w:r>
      <w:r>
        <w:rPr>
          <w:rFonts w:ascii="Helvetica" w:hAnsi="Helvetica"/>
          <w:b/>
          <w:bCs/>
          <w:sz w:val="50"/>
          <w:szCs w:val="50"/>
        </w:rPr>
      </w:r>
    </w:p>
    <w:p>
      <w:pPr>
        <w:jc w:val="center"/>
        <w:rPr>
          <w:rFonts w:ascii="Helvetica" w:hAnsi="Helvetica"/>
          <w:b/>
          <w:bCs/>
          <w:sz w:val="50"/>
          <w:szCs w:val="50"/>
        </w:rPr>
      </w:pPr>
      <w:r>
        <w:rPr>
          <w:rFonts w:ascii="Helvetica" w:hAnsi="Helvetica"/>
          <w:b/>
          <w:bCs/>
          <w:sz w:val="50"/>
          <w:szCs w:val="50"/>
        </w:rPr>
      </w:r>
      <w:r>
        <w:rPr>
          <w:rFonts w:ascii="Helvetica" w:hAnsi="Helvetica"/>
          <w:b/>
          <w:bCs/>
          <w:sz w:val="50"/>
          <w:szCs w:val="50"/>
        </w:rPr>
      </w:r>
    </w:p>
    <w:p>
      <w:pPr>
        <w:jc w:val="center"/>
        <w:rPr>
          <w:rFonts w:ascii="Helvetica" w:hAnsi="Helvetica"/>
          <w:b/>
          <w:bCs/>
          <w:sz w:val="50"/>
          <w:szCs w:val="50"/>
        </w:rPr>
      </w:pPr>
      <w:r>
        <w:rPr>
          <w:rFonts w:ascii="Helvetica" w:hAnsi="Helvetica"/>
          <w:b/>
          <w:bCs/>
          <w:sz w:val="50"/>
          <w:szCs w:val="50"/>
        </w:rPr>
      </w:r>
      <w:r>
        <w:rPr>
          <w:rFonts w:ascii="Helvetica" w:hAnsi="Helvetica"/>
          <w:b/>
          <w:bCs/>
          <w:sz w:val="50"/>
          <w:szCs w:val="50"/>
        </w:rPr>
      </w:r>
    </w:p>
    <w:p>
      <w:pPr>
        <w:jc w:val="center"/>
        <w:rPr>
          <w:rFonts w:ascii="Helvetica" w:hAnsi="Helvetica"/>
          <w:b/>
          <w:bCs/>
          <w:sz w:val="50"/>
          <w:szCs w:val="50"/>
        </w:rPr>
      </w:pPr>
      <w:r>
        <w:rPr>
          <w:rFonts w:ascii="Helvetica" w:hAnsi="Helvetica"/>
          <w:b/>
          <w:bCs/>
          <w:sz w:val="50"/>
          <w:szCs w:val="50"/>
        </w:rPr>
      </w:r>
      <w:r>
        <w:rPr>
          <w:rFonts w:ascii="Helvetica" w:hAnsi="Helvetica"/>
          <w:b/>
          <w:bCs/>
          <w:sz w:val="50"/>
          <w:szCs w:val="50"/>
        </w:rPr>
      </w:r>
    </w:p>
    <w:p>
      <w:pPr>
        <w:jc w:val="center"/>
        <w:rPr>
          <w:rFonts w:ascii="Helvetica" w:hAnsi="Helvetica"/>
          <w:b/>
          <w:bCs/>
          <w:sz w:val="50"/>
          <w:szCs w:val="50"/>
        </w:rPr>
      </w:pPr>
      <w:r>
        <w:rPr>
          <w:rFonts w:ascii="Helvetica" w:hAnsi="Helvetica"/>
          <w:b/>
          <w:bCs/>
          <w:sz w:val="50"/>
          <w:szCs w:val="50"/>
        </w:rPr>
      </w:r>
      <w:r>
        <w:rPr>
          <w:rFonts w:ascii="Helvetica" w:hAnsi="Helvetica"/>
          <w:b/>
          <w:bCs/>
          <w:sz w:val="50"/>
          <w:szCs w:val="50"/>
        </w:rPr>
      </w:r>
    </w:p>
    <w:p>
      <w:pPr>
        <w:jc w:val="center"/>
        <w:rPr>
          <w:rFonts w:ascii="Helvetica" w:hAnsi="Helvetica"/>
          <w:b/>
          <w:bCs/>
          <w:sz w:val="50"/>
          <w:szCs w:val="50"/>
        </w:rPr>
      </w:pPr>
      <w:r>
        <w:rPr>
          <w:rFonts w:ascii="Helvetica" w:hAnsi="Helvetica"/>
          <w:b/>
          <w:bCs/>
          <w:sz w:val="50"/>
          <w:szCs w:val="50"/>
        </w:rPr>
      </w:r>
      <w:r>
        <w:rPr>
          <w:rFonts w:ascii="Helvetica" w:hAnsi="Helvetica"/>
          <w:b/>
          <w:bCs/>
          <w:sz w:val="50"/>
          <w:szCs w:val="50"/>
        </w:rPr>
      </w:r>
    </w:p>
    <w:p>
      <w:pPr>
        <w:ind w:firstLine="0"/>
        <w:rPr>
          <w:rFonts w:ascii="Helvetica" w:hAnsi="Helvetica"/>
          <w:b/>
          <w:bCs/>
          <w:sz w:val="50"/>
          <w:szCs w:val="50"/>
        </w:rPr>
      </w:pPr>
      <w:r>
        <w:rPr>
          <w:rFonts w:ascii="Helvetica" w:hAnsi="Helvetica"/>
          <w:b/>
          <w:bCs/>
          <w:sz w:val="50"/>
          <w:szCs w:val="50"/>
        </w:rPr>
      </w:r>
      <w:r>
        <w:rPr>
          <w:rFonts w:ascii="Helvetica" w:hAnsi="Helvetica"/>
          <w:b/>
          <w:bCs/>
          <w:sz w:val="50"/>
          <w:szCs w:val="50"/>
        </w:rPr>
      </w:r>
    </w:p>
    <w:p>
      <w:pPr>
        <w:jc w:val="center"/>
        <w:rPr>
          <w:rFonts w:ascii="Helvetica" w:hAnsi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</w:r>
      <w:r>
        <w:rPr>
          <w:rFonts w:ascii="Helvetica" w:hAnsi="Helvetica"/>
          <w:b/>
          <w:bCs/>
          <w:sz w:val="40"/>
          <w:szCs w:val="40"/>
        </w:rPr>
      </w:r>
    </w:p>
    <w:p>
      <w:pPr>
        <w:jc w:val="center"/>
        <w:spacing w:line="276" w:lineRule="auto"/>
        <w:rPr>
          <w:rFonts w:ascii="Helvetica" w:hAnsi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 xml:space="preserve">ЛИЦЕНЗИОННЫЙ ДОГОВОР-ОФЕРТА </w:t>
      </w:r>
      <w:r>
        <w:rPr>
          <w:rFonts w:ascii="Helvetica" w:hAnsi="Helvetica"/>
          <w:b/>
          <w:bCs/>
          <w:sz w:val="40"/>
          <w:szCs w:val="40"/>
        </w:rPr>
      </w:r>
    </w:p>
    <w:p>
      <w:pPr>
        <w:jc w:val="center"/>
        <w:spacing w:line="276" w:lineRule="auto"/>
        <w:rPr>
          <w:rFonts w:ascii="Helvetica" w:hAnsi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 xml:space="preserve">на использование программы для ЭВМ</w:t>
      </w:r>
      <w:r>
        <w:rPr>
          <w:rFonts w:ascii="Helvetica" w:hAnsi="Helvetica"/>
          <w:b/>
          <w:bCs/>
          <w:sz w:val="40"/>
          <w:szCs w:val="40"/>
        </w:rPr>
      </w:r>
    </w:p>
    <w:p>
      <w:pPr>
        <w:jc w:val="center"/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center"/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ind w:firstLine="0"/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center"/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center"/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right"/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Программа для </w:t>
      </w:r>
      <w:r>
        <w:rPr>
          <w:rFonts w:ascii="Helvetica" w:hAnsi="Helvetica"/>
          <w:b/>
          <w:bCs/>
        </w:rPr>
        <w:t xml:space="preserve">ЭВМ: </w:t>
      </w:r>
      <w:r>
        <w:rPr>
          <w:rFonts w:ascii="Helvetica" w:hAnsi="Helvetica"/>
          <w:lang w:val="en-US"/>
        </w:rPr>
        <w:t xml:space="preserve">RAXS</w:t>
      </w:r>
      <w:r>
        <w:rPr>
          <w:rFonts w:ascii="Helvetica" w:hAnsi="Helvetica"/>
          <w:b/>
          <w:bCs/>
        </w:rPr>
      </w:r>
    </w:p>
    <w:p>
      <w:pPr>
        <w:jc w:val="right"/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 xml:space="preserve">Номер свидетельства о регистрации </w:t>
      </w:r>
      <w:r>
        <w:rPr>
          <w:rFonts w:ascii="Helvetica" w:hAnsi="Helvetica"/>
        </w:rPr>
      </w:r>
    </w:p>
    <w:p>
      <w:pPr>
        <w:jc w:val="right"/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 xml:space="preserve">программного обеспечения для ЭВМ №2022667869</w:t>
      </w:r>
      <w:r>
        <w:rPr>
          <w:rFonts w:ascii="Helvetica" w:hAnsi="Helvetica"/>
        </w:rPr>
      </w:r>
    </w:p>
    <w:p>
      <w:pPr>
        <w:jc w:val="right"/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right"/>
        <w:spacing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right"/>
        <w:spacing w:line="276" w:lineRule="auto"/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Владелец: </w:t>
      </w:r>
      <w:r>
        <w:rPr>
          <w:rFonts w:ascii="Helvetica" w:hAnsi="Helvetica"/>
        </w:rPr>
        <w:t xml:space="preserve">Общество с ограниченной </w:t>
      </w:r>
      <w:r>
        <w:rPr>
          <w:rFonts w:ascii="Helvetica" w:hAnsi="Helvetica"/>
        </w:rPr>
      </w:r>
    </w:p>
    <w:p>
      <w:pPr>
        <w:jc w:val="right"/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 xml:space="preserve">ответственностью</w:t>
      </w:r>
      <w:r>
        <w:rPr>
          <w:rFonts w:ascii="Helvetica" w:hAnsi="Helvetica"/>
        </w:rPr>
        <w:t xml:space="preserve"> «ПАЛ» </w:t>
      </w:r>
      <w:r>
        <w:rPr>
          <w:rFonts w:ascii="Helvetica" w:hAnsi="Helvetica"/>
        </w:rPr>
      </w:r>
    </w:p>
    <w:p>
      <w:pPr>
        <w:jc w:val="right"/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 xml:space="preserve">ОГРН: </w:t>
      </w:r>
      <w:r>
        <w:rPr>
          <w:rFonts w:ascii="Helvetica" w:hAnsi="Helvetica"/>
        </w:rPr>
        <w:t xml:space="preserve">1157746533856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</w:r>
    </w:p>
    <w:p>
      <w:pPr>
        <w:jc w:val="right"/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 xml:space="preserve">ИНН: </w:t>
      </w:r>
      <w:r>
        <w:rPr>
          <w:rFonts w:ascii="Helvetica" w:hAnsi="Helvetica"/>
        </w:rPr>
        <w:t xml:space="preserve">7725276866</w:t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</w:r>
      <w:r>
        <w:rPr>
          <w:rFonts w:ascii="Helvetica" w:hAnsi="Helvetica"/>
          <w:b/>
          <w:bCs/>
        </w:rPr>
      </w:r>
    </w:p>
    <w:p>
      <w:pPr>
        <w:ind w:firstLine="0"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«</w:t>
      </w:r>
      <w:r>
        <w:rPr>
          <w:rFonts w:ascii="Helvetica" w:hAnsi="Helvetica"/>
        </w:rPr>
        <w:t xml:space="preserve">7</w:t>
      </w:r>
      <w:r>
        <w:rPr>
          <w:rFonts w:ascii="Helvetica" w:hAnsi="Helvetica"/>
        </w:rPr>
        <w:t xml:space="preserve">» </w:t>
      </w:r>
      <w:r>
        <w:rPr>
          <w:rFonts w:ascii="Helvetica" w:hAnsi="Helvetica"/>
        </w:rPr>
        <w:t xml:space="preserve">Июня</w:t>
      </w:r>
      <w:r>
        <w:rPr>
          <w:rFonts w:ascii="Helvetica" w:hAnsi="Helvetica"/>
        </w:rPr>
        <w:t xml:space="preserve"> 2024 года</w:t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г. Москва</w:t>
      </w:r>
      <w:r>
        <w:rPr>
          <w:rFonts w:ascii="Helvetica" w:hAnsi="Helvetica"/>
        </w:rPr>
      </w:r>
    </w:p>
    <w:p>
      <w:pPr>
        <w:rPr>
          <w:rFonts w:ascii="Helvetica" w:hAnsi="Helvetica"/>
        </w:rPr>
      </w:pPr>
      <w:r>
        <w:rPr>
          <w:rFonts w:ascii="Helvetica" w:hAnsi="Helvetica"/>
        </w:rPr>
      </w:r>
      <w:r>
        <w:rPr>
          <w:rFonts w:ascii="Helvetica" w:hAnsi="Helvetica"/>
        </w:rPr>
      </w:r>
    </w:p>
    <w:p>
      <w:pPr>
        <w:ind w:firstLine="0"/>
        <w:sectPr>
          <w:footerReference w:type="default" r:id="rId10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/>
      <w:r/>
    </w:p>
    <w:p>
      <w:pPr>
        <w:ind w:left="426" w:firstLine="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Настоящий Договор, в соответствии со ст. 437 Гражданского кодекса Российской Федерации (далее – ГК РФ), является публичной офертой</w:t>
      </w:r>
      <w:r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Общества с ограниченной ответственностью «ПАЛ»</w:t>
      </w:r>
      <w:r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(</w:t>
      </w:r>
      <w:r>
        <w:rPr>
          <w:rFonts w:ascii="Helvetica" w:hAnsi="Helvetica"/>
          <w:color w:val="000000" w:themeColor="text1"/>
        </w:rPr>
        <w:t xml:space="preserve">ОГРН: 1157746533856, ИНН: 7725276866</w:t>
      </w:r>
      <w:r>
        <w:rPr>
          <w:rFonts w:ascii="Helvetica" w:hAnsi="Helvetica"/>
          <w:color w:val="000000" w:themeColor="text1"/>
        </w:rPr>
        <w:t xml:space="preserve">), к любому </w:t>
      </w:r>
      <w:r>
        <w:rPr>
          <w:rFonts w:ascii="Helvetica" w:hAnsi="Helvetica"/>
          <w:color w:val="000000" w:themeColor="text1"/>
        </w:rPr>
        <w:t xml:space="preserve">физическому или </w:t>
      </w:r>
      <w:r>
        <w:rPr>
          <w:rFonts w:ascii="Helvetica" w:hAnsi="Helvetica"/>
          <w:color w:val="000000" w:themeColor="text1"/>
        </w:rPr>
        <w:t xml:space="preserve">юридическому лицу</w:t>
      </w:r>
      <w:r>
        <w:rPr>
          <w:rFonts w:ascii="Helvetica" w:hAnsi="Helvetica"/>
          <w:color w:val="000000" w:themeColor="text1"/>
        </w:rPr>
        <w:t xml:space="preserve">,</w:t>
      </w:r>
      <w:r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индивидуальному предпринимателю</w:t>
      </w:r>
      <w:r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(далее – Договор).</w:t>
      </w:r>
      <w:r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</w:r>
    </w:p>
    <w:p>
      <w:pPr>
        <w:pStyle w:val="744"/>
        <w:contextualSpacing w:val="0"/>
        <w:ind w:left="360" w:firstLine="0"/>
        <w:spacing w:after="80" w:line="276" w:lineRule="auto"/>
        <w:rPr>
          <w:rFonts w:ascii="Helvetica" w:hAnsi="Helvetica"/>
          <w:b/>
          <w:bCs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</w:r>
      <w:r>
        <w:rPr>
          <w:rFonts w:ascii="Helvetica" w:hAnsi="Helvetica"/>
          <w:b/>
          <w:bCs/>
          <w:color w:val="000000" w:themeColor="text1"/>
        </w:rPr>
      </w:r>
    </w:p>
    <w:p>
      <w:pPr>
        <w:pStyle w:val="744"/>
        <w:numPr>
          <w:ilvl w:val="0"/>
          <w:numId w:val="2"/>
        </w:numPr>
        <w:contextualSpacing w:val="0"/>
        <w:jc w:val="center"/>
        <w:spacing w:after="80" w:line="276" w:lineRule="auto"/>
        <w:rPr>
          <w:rFonts w:ascii="Helvetica" w:hAnsi="Helvetica"/>
          <w:b/>
          <w:bCs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ТЕРМИНЫ И ОПРЕДЕЛЕНИЯ</w:t>
      </w:r>
      <w:r>
        <w:rPr>
          <w:rFonts w:ascii="Helvetica" w:hAnsi="Helvetica"/>
          <w:b/>
          <w:bCs/>
          <w:color w:val="000000" w:themeColor="text1"/>
        </w:rPr>
      </w:r>
    </w:p>
    <w:p>
      <w:pPr>
        <w:ind w:left="426" w:firstLine="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В Договоре, если из его текста прямо не вытекает иное, следующие термины будут иметь указанные ниже значения: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«Оферта» </w:t>
      </w:r>
      <w:r>
        <w:rPr>
          <w:rFonts w:ascii="Helvetica" w:hAnsi="Helvetica"/>
          <w:color w:val="000000" w:themeColor="text1"/>
        </w:rPr>
        <w:t xml:space="preserve">означа</w:t>
      </w:r>
      <w:r>
        <w:rPr>
          <w:rFonts w:ascii="Helvetica" w:hAnsi="Helvetica"/>
          <w:color w:val="000000" w:themeColor="text1"/>
        </w:rPr>
        <w:t xml:space="preserve">е</w:t>
      </w:r>
      <w:r>
        <w:rPr>
          <w:rFonts w:ascii="Helvetica" w:hAnsi="Helvetica"/>
          <w:color w:val="000000" w:themeColor="text1"/>
        </w:rPr>
        <w:t xml:space="preserve">т настоящее предложение, содержащее все существенные условия Договора, из которого усматривается воля </w:t>
      </w:r>
      <w:r>
        <w:rPr>
          <w:rFonts w:ascii="Helvetica" w:hAnsi="Helvetica"/>
          <w:color w:val="000000" w:themeColor="text1"/>
        </w:rPr>
        <w:t xml:space="preserve">Лицезиара</w:t>
      </w:r>
      <w:r>
        <w:rPr>
          <w:rFonts w:ascii="Helvetica" w:hAnsi="Helvetica"/>
          <w:color w:val="000000" w:themeColor="text1"/>
        </w:rPr>
        <w:t xml:space="preserve"> на заключение договора на указанных в настоящем предложении условиях с любым лицом, кто отзовется.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«Стороны»</w:t>
      </w:r>
      <w:r>
        <w:rPr>
          <w:rFonts w:ascii="Helvetica" w:hAnsi="Helvetica"/>
          <w:color w:val="000000" w:themeColor="text1"/>
        </w:rPr>
        <w:t xml:space="preserve"> означает именуемых совместно сторон Договора – Лицензиара и </w:t>
      </w:r>
      <w:r>
        <w:rPr>
          <w:rFonts w:ascii="Helvetica" w:hAnsi="Helvetica"/>
          <w:color w:val="000000" w:themeColor="text1"/>
        </w:rPr>
        <w:t xml:space="preserve">Лицензиата</w:t>
      </w:r>
      <w:r>
        <w:rPr>
          <w:rFonts w:ascii="Helvetica" w:hAnsi="Helvetica"/>
          <w:color w:val="000000" w:themeColor="text1"/>
        </w:rPr>
        <w:t xml:space="preserve">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2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«Лицензиар» </w:t>
      </w:r>
      <w:r>
        <w:rPr>
          <w:rFonts w:ascii="Helvetica" w:hAnsi="Helvetica"/>
          <w:color w:val="000000" w:themeColor="text1"/>
        </w:rPr>
        <w:t xml:space="preserve">означает</w:t>
      </w:r>
      <w:r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Обществ</w:t>
      </w:r>
      <w:r>
        <w:rPr>
          <w:rFonts w:ascii="Helvetica" w:hAnsi="Helvetica"/>
          <w:color w:val="000000" w:themeColor="text1"/>
        </w:rPr>
        <w:t xml:space="preserve">о</w:t>
      </w:r>
      <w:r>
        <w:rPr>
          <w:rFonts w:ascii="Helvetica" w:hAnsi="Helvetica"/>
          <w:color w:val="000000" w:themeColor="text1"/>
        </w:rPr>
        <w:t xml:space="preserve"> с ограниченной ответственностью «ПАЛ»</w:t>
      </w:r>
      <w:r>
        <w:rPr>
          <w:rFonts w:ascii="Helvetica" w:hAnsi="Helvetica"/>
          <w:color w:val="000000" w:themeColor="text1"/>
        </w:rPr>
        <w:t xml:space="preserve">, </w:t>
      </w:r>
      <w:r>
        <w:rPr>
          <w:rFonts w:ascii="Helvetica" w:hAnsi="Helvetica"/>
          <w:color w:val="000000" w:themeColor="text1"/>
        </w:rPr>
        <w:t xml:space="preserve">ОГРН: 1157746533856, ИНН: 7725276866</w:t>
      </w:r>
      <w:r>
        <w:rPr>
          <w:rFonts w:ascii="Helvetica" w:hAnsi="Helvetica"/>
          <w:color w:val="000000" w:themeColor="text1"/>
        </w:rPr>
        <w:t xml:space="preserve">, </w:t>
      </w:r>
      <w:r>
        <w:rPr>
          <w:rFonts w:ascii="Helvetica" w:hAnsi="Helvetica"/>
          <w:color w:val="000000" w:themeColor="text1"/>
        </w:rPr>
        <w:t xml:space="preserve">а</w:t>
      </w:r>
      <w:r>
        <w:rPr>
          <w:rFonts w:ascii="Helvetica" w:hAnsi="Helvetica"/>
          <w:color w:val="000000" w:themeColor="text1"/>
        </w:rPr>
        <w:t xml:space="preserve">дрес местонахождения: 109029, город Москва, Михайловский </w:t>
      </w:r>
      <w:r>
        <w:rPr>
          <w:rFonts w:ascii="Helvetica" w:hAnsi="Helvetica"/>
          <w:color w:val="000000" w:themeColor="text1"/>
        </w:rPr>
        <w:t xml:space="preserve">пр</w:t>
      </w:r>
      <w:r>
        <w:rPr>
          <w:rFonts w:ascii="Helvetica" w:hAnsi="Helvetica"/>
          <w:color w:val="000000" w:themeColor="text1"/>
        </w:rPr>
        <w:t xml:space="preserve">-д, д. 1 стр. 1, офис 530</w:t>
      </w:r>
      <w:r>
        <w:rPr>
          <w:rFonts w:ascii="Helvetica" w:hAnsi="Helvetica"/>
          <w:color w:val="000000" w:themeColor="text1"/>
        </w:rPr>
        <w:t xml:space="preserve">.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2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«Лицензиат» </w:t>
      </w:r>
      <w:r>
        <w:rPr>
          <w:rFonts w:ascii="Helvetica" w:hAnsi="Helvetica"/>
          <w:color w:val="000000" w:themeColor="text1"/>
        </w:rPr>
        <w:t xml:space="preserve">является</w:t>
      </w:r>
      <w:r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физическим или </w:t>
      </w:r>
      <w:r>
        <w:rPr>
          <w:rFonts w:ascii="Helvetica" w:hAnsi="Helvetica"/>
          <w:color w:val="000000" w:themeColor="text1"/>
        </w:rPr>
        <w:t xml:space="preserve">юри</w:t>
      </w:r>
      <w:r>
        <w:rPr>
          <w:rFonts w:ascii="Helvetica" w:hAnsi="Helvetica"/>
          <w:color w:val="000000" w:themeColor="text1"/>
        </w:rPr>
        <w:t xml:space="preserve">дическим</w:t>
      </w:r>
      <w:r>
        <w:rPr>
          <w:rFonts w:ascii="Helvetica" w:hAnsi="Helvetica"/>
          <w:color w:val="000000" w:themeColor="text1"/>
        </w:rPr>
        <w:t xml:space="preserve"> лицо</w:t>
      </w:r>
      <w:r>
        <w:rPr>
          <w:rFonts w:ascii="Helvetica" w:hAnsi="Helvetica"/>
          <w:color w:val="000000" w:themeColor="text1"/>
        </w:rPr>
        <w:t xml:space="preserve">м, индивидуальным предпринимателем</w:t>
      </w:r>
      <w:r>
        <w:rPr>
          <w:rFonts w:ascii="Helvetica" w:hAnsi="Helvetica"/>
          <w:color w:val="000000" w:themeColor="text1"/>
        </w:rPr>
        <w:t xml:space="preserve">, заключивш</w:t>
      </w:r>
      <w:r>
        <w:rPr>
          <w:rFonts w:ascii="Helvetica" w:hAnsi="Helvetica"/>
          <w:color w:val="000000" w:themeColor="text1"/>
        </w:rPr>
        <w:t xml:space="preserve">им</w:t>
      </w:r>
      <w:r>
        <w:rPr>
          <w:rFonts w:ascii="Helvetica" w:hAnsi="Helvetica"/>
          <w:color w:val="000000" w:themeColor="text1"/>
        </w:rPr>
        <w:t xml:space="preserve"> настоящий Договор с Лицензиаром путем Акцепта Оферты.</w:t>
      </w:r>
      <w:r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«Акцепт Оферты»</w:t>
      </w:r>
      <w:r>
        <w:rPr>
          <w:rFonts w:ascii="Helvetica" w:hAnsi="Helvetica"/>
          <w:color w:val="000000" w:themeColor="text1"/>
        </w:rPr>
        <w:t xml:space="preserve"> означает совершение </w:t>
      </w:r>
      <w:r>
        <w:rPr>
          <w:rFonts w:ascii="Helvetica" w:hAnsi="Helvetica"/>
          <w:color w:val="000000" w:themeColor="text1"/>
        </w:rPr>
        <w:t xml:space="preserve">Лицензиатом</w:t>
      </w:r>
      <w:r>
        <w:rPr>
          <w:rFonts w:ascii="Helvetica" w:hAnsi="Helvetica"/>
          <w:color w:val="000000" w:themeColor="text1"/>
        </w:rPr>
        <w:t xml:space="preserve"> действий, указанных в настоящей Оферте, свидетельствующих о принятии данным лицом условий Оферты в полном объеме.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«Программа»</w:t>
      </w:r>
      <w:r>
        <w:rPr>
          <w:rFonts w:ascii="Helvetica" w:hAnsi="Helvetica"/>
          <w:color w:val="000000" w:themeColor="text1"/>
        </w:rPr>
        <w:t xml:space="preserve"> означает программа для ЭВМ «</w:t>
      </w:r>
      <w:r>
        <w:rPr>
          <w:rFonts w:ascii="Helvetica" w:hAnsi="Helvetica"/>
          <w:color w:val="000000" w:themeColor="text1"/>
          <w:lang w:val="en-US"/>
        </w:rPr>
        <w:t xml:space="preserve">RAXS</w:t>
      </w:r>
      <w:r>
        <w:rPr>
          <w:rFonts w:ascii="Helvetica" w:hAnsi="Helvetica"/>
          <w:color w:val="000000" w:themeColor="text1"/>
        </w:rPr>
        <w:t xml:space="preserve">» (как в целом, так и ее компоненты), явл</w:t>
      </w:r>
      <w:r>
        <w:rPr>
          <w:rFonts w:ascii="Helvetica" w:hAnsi="Helvetica"/>
          <w:color w:val="000000" w:themeColor="text1"/>
        </w:rPr>
        <w:t xml:space="preserve">яющаяся представленной в объективной форме совокупностью данных и команд, в том числе, исходного текста, базы данных, аудиовизуальных произведений, включённых Лицензиаром в состав указанной программы для ЭВМ, а также любая документация по ее использованию.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«Использование Программы»</w:t>
      </w:r>
      <w:r>
        <w:rPr>
          <w:rFonts w:ascii="Helvetica" w:hAnsi="Helvetica"/>
          <w:color w:val="000000" w:themeColor="text1"/>
        </w:rPr>
        <w:t xml:space="preserve"> означает воспроизведение одной копии Программы посредством запуска в порядке, определенном </w:t>
      </w:r>
      <w:r>
        <w:rPr>
          <w:rFonts w:ascii="Helvetica" w:hAnsi="Helvetica"/>
          <w:color w:val="000000" w:themeColor="text1"/>
        </w:rPr>
        <w:t xml:space="preserve">пользовательской</w:t>
      </w:r>
      <w:r>
        <w:rPr>
          <w:rFonts w:ascii="Helvetica" w:hAnsi="Helvetica"/>
          <w:color w:val="000000" w:themeColor="text1"/>
        </w:rPr>
        <w:t xml:space="preserve"> (технической) документацией и Договором.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Сервис»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 </w:t>
      </w:r>
      <w:r>
        <w:rPr>
          <w:rFonts w:ascii="Helvetica" w:hAnsi="Helvetica"/>
          <w:color w:val="000000" w:themeColor="text1"/>
        </w:rPr>
        <w:t xml:space="preserve">означает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информационный ресурс, являющийся совокупностью данных одной Программы с уникальным идентифик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атором, с помощью которого группируются объекты программы (информационные блоки, веб-формы, форумы, шаблоны, шаблоны писем и другие) для их совместного отображения и использования, обычно в одном внешнем виде, языке интерфейса, доменном имени или каталоге.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В рамках Использования Программы Лицензиату предоставляются следующие виды доступа: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2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«Администратор Сервиса» </w:t>
      </w:r>
      <w:r>
        <w:rPr>
          <w:rFonts w:ascii="Helvetica" w:hAnsi="Helvetica"/>
          <w:color w:val="000000" w:themeColor="text1"/>
        </w:rPr>
        <w:t xml:space="preserve">означает назначенное </w:t>
      </w:r>
      <w:r>
        <w:rPr>
          <w:rFonts w:ascii="Helvetica" w:hAnsi="Helvetica"/>
          <w:color w:val="000000" w:themeColor="text1"/>
        </w:rPr>
        <w:t xml:space="preserve">Лицензиатом</w:t>
      </w:r>
      <w:r>
        <w:rPr>
          <w:rFonts w:ascii="Helvetica" w:hAnsi="Helvetica"/>
          <w:color w:val="000000" w:themeColor="text1"/>
        </w:rPr>
        <w:t xml:space="preserve"> ответственное лицо для </w:t>
      </w:r>
      <w:r>
        <w:rPr>
          <w:rFonts w:ascii="Helvetica" w:hAnsi="Helvetica"/>
          <w:color w:val="000000" w:themeColor="text1"/>
        </w:rPr>
        <w:t xml:space="preserve">Ис</w:t>
      </w:r>
      <w:r>
        <w:rPr>
          <w:rFonts w:ascii="Helvetica" w:hAnsi="Helvetica"/>
          <w:color w:val="000000" w:themeColor="text1"/>
        </w:rPr>
        <w:t xml:space="preserve">пользования Программы</w:t>
      </w:r>
      <w:r>
        <w:rPr>
          <w:rFonts w:ascii="Helvetica" w:hAnsi="Helvetica"/>
          <w:color w:val="000000" w:themeColor="text1"/>
        </w:rPr>
        <w:t xml:space="preserve">, с набором управленческих функций в рамках конкретного предоставленного Лицензиаром Сервиса.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2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«Пользователь» </w:t>
      </w:r>
      <w:r>
        <w:rPr>
          <w:rFonts w:ascii="Helvetica" w:hAnsi="Helvetica"/>
          <w:color w:val="000000" w:themeColor="text1"/>
        </w:rPr>
        <w:t xml:space="preserve">означает любое авторизованное лицо, котор</w:t>
      </w:r>
      <w:r>
        <w:rPr>
          <w:rFonts w:ascii="Helvetica" w:hAnsi="Helvetica"/>
          <w:color w:val="000000" w:themeColor="text1"/>
        </w:rPr>
        <w:t xml:space="preserve">ое</w:t>
      </w:r>
      <w:r>
        <w:rPr>
          <w:rFonts w:ascii="Helvetica" w:hAnsi="Helvetica"/>
          <w:color w:val="000000" w:themeColor="text1"/>
        </w:rPr>
        <w:t xml:space="preserve"> авторизовал</w:t>
      </w:r>
      <w:r>
        <w:rPr>
          <w:rFonts w:ascii="Helvetica" w:hAnsi="Helvetica"/>
          <w:color w:val="000000" w:themeColor="text1"/>
        </w:rPr>
        <w:t xml:space="preserve">о</w:t>
      </w:r>
      <w:r>
        <w:rPr>
          <w:rFonts w:ascii="Helvetica" w:hAnsi="Helvetica"/>
          <w:color w:val="000000" w:themeColor="text1"/>
        </w:rPr>
        <w:t xml:space="preserve">с</w:t>
      </w:r>
      <w:r>
        <w:rPr>
          <w:rFonts w:ascii="Helvetica" w:hAnsi="Helvetica"/>
          <w:color w:val="000000" w:themeColor="text1"/>
        </w:rPr>
        <w:t xml:space="preserve">ь</w:t>
      </w:r>
      <w:r>
        <w:rPr>
          <w:rFonts w:ascii="Helvetica" w:hAnsi="Helvetica"/>
          <w:color w:val="000000" w:themeColor="text1"/>
        </w:rPr>
        <w:t xml:space="preserve"> в Программе. Права Пользователя определя</w:t>
      </w:r>
      <w:r>
        <w:rPr>
          <w:rFonts w:ascii="Helvetica" w:hAnsi="Helvetica"/>
          <w:color w:val="000000" w:themeColor="text1"/>
        </w:rPr>
        <w:t xml:space="preserve">ю</w:t>
      </w:r>
      <w:r>
        <w:rPr>
          <w:rFonts w:ascii="Helvetica" w:hAnsi="Helvetica"/>
          <w:color w:val="000000" w:themeColor="text1"/>
        </w:rPr>
        <w:t xml:space="preserve">тся исходя из функциональности Программы и настроек, определенных Администратором Сервиса.</w:t>
      </w:r>
      <w:r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«Личный кабинет»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 </w:t>
      </w:r>
      <w:r>
        <w:rPr>
          <w:rFonts w:ascii="Helvetica" w:hAnsi="Helvetica"/>
          <w:color w:val="000000" w:themeColor="text1"/>
        </w:rPr>
        <w:t xml:space="preserve">означает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закрытая область Сервиса, позволяющая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Администратору Сервиса осуществлять авторизацию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ользователей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управлять их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Учетной записью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настройками Сервиса. Для входа в Личный кабинет используются уникальное имя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пароль, определенные Администратором Сервиса при регистрации.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«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Учетная запись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»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 </w:t>
      </w:r>
      <w:r>
        <w:rPr>
          <w:rFonts w:ascii="Helvetica" w:hAnsi="Helvetica"/>
          <w:color w:val="000000" w:themeColor="text1"/>
        </w:rPr>
        <w:t xml:space="preserve">означает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страница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Сервиса, заполняемая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 содержащая данные, позволяющие идентифицировать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в том числе идентифицировать авторизованных Пользователей и Администратора Сервиса в рамках предоставленного Лицензиату 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«Маркетплейс»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/>
          <w:color w:val="000000" w:themeColor="text1"/>
        </w:rPr>
        <w:t xml:space="preserve">означает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электронная платформа, представляющая собой совокупность связанных между собой веб-страниц, объединенных по тематическому признаку (включая мобильную версию сайта, а также соответствующие мобильные приложения, представляющие собой программное обеспечение,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устанавливаемое на мобильное устройство (телефон и/или планшетный компьютер, и/или иное устройство пользователя), предназначенная для размещения в сети Интернет информации, в том числе размещения продавцами товарных предложений, адресованных покупателям.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«Лицензионное вознаграждение»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означает взимаемую Лицензиаром плату с Лицензиата за Использование Программы.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«Подписка»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/>
          <w:color w:val="000000" w:themeColor="text1"/>
        </w:rPr>
        <w:t xml:space="preserve">означает</w:t>
      </w:r>
      <w:r>
        <w:rPr>
          <w:rFonts w:ascii="Helvetica" w:hAnsi="Helvetica"/>
          <w:color w:val="000000" w:themeColor="text1"/>
        </w:rPr>
        <w:t xml:space="preserve"> предоставле</w:t>
      </w:r>
      <w:r>
        <w:rPr>
          <w:rFonts w:ascii="Helvetica" w:hAnsi="Helvetica"/>
          <w:color w:val="000000" w:themeColor="text1"/>
        </w:rPr>
        <w:t xml:space="preserve">ние Лицензиату на определенный период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(1, 3, 6, 12 месяцев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ил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 любой иной период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предложенный Лицензиаром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)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права Использования Программы посредством оплаты Лицензионного вознаграждения в размере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стоимости выбранного Лицензиатом объема функциональных возможностей Программы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(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Тарифн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ый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план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)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Все доступные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варианты Подписок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размещены на сайте Лицензиара по адресу: </w:t>
      </w:r>
      <w:hyperlink r:id="rId12" w:tooltip="https://raxs.ru/offer.php" w:history="1">
        <w:r>
          <w:rPr>
            <w:rStyle w:val="755"/>
            <w:rFonts w:ascii="Helvetica" w:hAnsi="Helvetica"/>
            <w:highlight w:val="lightGray"/>
          </w:rPr>
          <w:t xml:space="preserve">https://raxs.ru/offer.php</w:t>
        </w:r>
      </w:hyperlink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/>
          <w:color w:val="000000" w:themeColor="text1"/>
        </w:rPr>
      </w:r>
    </w:p>
    <w:p>
      <w:pPr>
        <w:pStyle w:val="744"/>
        <w:contextualSpacing w:val="0"/>
        <w:ind w:left="426" w:firstLine="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0"/>
          <w:numId w:val="2"/>
        </w:numPr>
        <w:contextualSpacing w:val="0"/>
        <w:jc w:val="center"/>
        <w:spacing w:after="80" w:line="276" w:lineRule="auto"/>
        <w:rPr>
          <w:rFonts w:ascii="Helvetica" w:hAnsi="Helvetica"/>
          <w:b/>
          <w:bCs/>
          <w:color w:val="000000" w:themeColor="text1"/>
        </w:rPr>
      </w:pPr>
      <w:r>
        <w:rPr>
          <w:rFonts w:ascii="Helvetica" w:hAnsi="Helvetica"/>
          <w:b/>
          <w:bCs/>
          <w:color w:val="000000" w:themeColor="text1"/>
        </w:rPr>
        <w:t xml:space="preserve">ОБЩИЕ ПОЛОЖЕНИЯ</w:t>
      </w:r>
      <w:r>
        <w:rPr>
          <w:rFonts w:ascii="Helvetica" w:hAnsi="Helvetica"/>
          <w:b/>
          <w:bCs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Надлежащим акцептом настоящей оферты в соответствии со статьей 438 Гражданского кодекса Российской Федерации является осуществление </w:t>
      </w:r>
      <w:r>
        <w:rPr>
          <w:rFonts w:ascii="Helvetica" w:hAnsi="Helvetica"/>
          <w:color w:val="000000" w:themeColor="text1"/>
        </w:rPr>
        <w:t xml:space="preserve">Лицензиатом</w:t>
      </w:r>
      <w:r>
        <w:rPr>
          <w:rFonts w:ascii="Helvetica" w:hAnsi="Helvetica"/>
          <w:color w:val="000000" w:themeColor="text1"/>
        </w:rPr>
        <w:t xml:space="preserve"> оплаты </w:t>
      </w:r>
      <w:r>
        <w:rPr>
          <w:rFonts w:ascii="Helvetica" w:hAnsi="Helvetica"/>
          <w:color w:val="000000" w:themeColor="text1"/>
        </w:rPr>
        <w:t xml:space="preserve">Л</w:t>
      </w:r>
      <w:r>
        <w:rPr>
          <w:rFonts w:ascii="Helvetica" w:hAnsi="Helvetica"/>
          <w:color w:val="000000" w:themeColor="text1"/>
        </w:rPr>
        <w:t xml:space="preserve">ицензионного </w:t>
      </w:r>
      <w:r>
        <w:rPr>
          <w:rFonts w:ascii="Helvetica" w:hAnsi="Helvetica"/>
          <w:color w:val="000000" w:themeColor="text1"/>
        </w:rPr>
        <w:t xml:space="preserve">вознаграждения</w:t>
      </w:r>
      <w:r>
        <w:rPr>
          <w:rFonts w:ascii="Helvetica" w:hAnsi="Helvetica"/>
          <w:color w:val="000000" w:themeColor="text1"/>
        </w:rPr>
        <w:t xml:space="preserve">.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С момента поступления денежных средств в счет оплаты </w:t>
      </w:r>
      <w:r>
        <w:rPr>
          <w:rFonts w:ascii="Helvetica" w:hAnsi="Helvetica"/>
          <w:color w:val="000000" w:themeColor="text1"/>
        </w:rPr>
        <w:t xml:space="preserve">Лицензионного </w:t>
      </w:r>
      <w:r>
        <w:rPr>
          <w:rFonts w:ascii="Helvetica" w:hAnsi="Helvetica"/>
          <w:color w:val="000000" w:themeColor="text1"/>
        </w:rPr>
        <w:t xml:space="preserve">вознаграждения</w:t>
      </w:r>
      <w:r>
        <w:rPr>
          <w:rFonts w:ascii="Helvetica" w:hAnsi="Helvetica"/>
          <w:color w:val="000000" w:themeColor="text1"/>
        </w:rPr>
        <w:t xml:space="preserve"> на расчетный счет </w:t>
      </w:r>
      <w:r>
        <w:rPr>
          <w:rFonts w:ascii="Helvetica" w:hAnsi="Helvetica"/>
          <w:color w:val="000000" w:themeColor="text1"/>
        </w:rPr>
        <w:t xml:space="preserve">Лицензиара</w:t>
      </w:r>
      <w:r>
        <w:rPr>
          <w:rFonts w:ascii="Helvetica" w:hAnsi="Helvetica"/>
          <w:color w:val="000000" w:themeColor="text1"/>
        </w:rPr>
        <w:t xml:space="preserve">, Договор считается заключенным между </w:t>
      </w:r>
      <w:r>
        <w:rPr>
          <w:rFonts w:ascii="Helvetica" w:hAnsi="Helvetica"/>
          <w:color w:val="000000" w:themeColor="text1"/>
        </w:rPr>
        <w:t xml:space="preserve">Лицензиатом</w:t>
      </w:r>
      <w:r>
        <w:rPr>
          <w:rFonts w:ascii="Helvetica" w:hAnsi="Helvetica"/>
          <w:color w:val="000000" w:themeColor="text1"/>
        </w:rPr>
        <w:t xml:space="preserve"> и </w:t>
      </w:r>
      <w:r>
        <w:rPr>
          <w:rFonts w:ascii="Helvetica" w:hAnsi="Helvetica"/>
          <w:color w:val="000000" w:themeColor="text1"/>
        </w:rPr>
        <w:t xml:space="preserve">Лицензиаром</w:t>
      </w:r>
      <w:r>
        <w:rPr>
          <w:rFonts w:ascii="Helvetica" w:hAnsi="Helvetica"/>
          <w:color w:val="000000" w:themeColor="text1"/>
        </w:rPr>
        <w:t xml:space="preserve">.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В случае если оплата была произведена третьим лицом договор считается заключенным с </w:t>
      </w:r>
      <w:r>
        <w:rPr>
          <w:rFonts w:ascii="Helvetica" w:hAnsi="Helvetica"/>
          <w:color w:val="000000" w:themeColor="text1"/>
        </w:rPr>
        <w:t xml:space="preserve">Лицензиатом</w:t>
      </w:r>
      <w:r>
        <w:rPr>
          <w:rFonts w:ascii="Helvetica" w:hAnsi="Helvetica"/>
          <w:color w:val="000000" w:themeColor="text1"/>
        </w:rPr>
        <w:t xml:space="preserve">, за которого производилась оплата</w:t>
      </w:r>
      <w:r>
        <w:rPr>
          <w:rFonts w:ascii="Helvetica" w:hAnsi="Helvetica"/>
          <w:color w:val="000000" w:themeColor="text1"/>
        </w:rPr>
        <w:t xml:space="preserve"> при </w:t>
      </w:r>
      <w:r>
        <w:rPr>
          <w:rFonts w:ascii="Helvetica" w:hAnsi="Helvetica"/>
          <w:color w:val="000000" w:themeColor="text1"/>
        </w:rPr>
        <w:t xml:space="preserve">соблюдении </w:t>
      </w:r>
      <w:r>
        <w:rPr>
          <w:rFonts w:ascii="Helvetica" w:hAnsi="Helvetica"/>
          <w:color w:val="000000" w:themeColor="text1"/>
        </w:rPr>
        <w:t xml:space="preserve">следующих услови</w:t>
      </w:r>
      <w:r>
        <w:rPr>
          <w:rFonts w:ascii="Helvetica" w:hAnsi="Helvetica"/>
          <w:color w:val="000000" w:themeColor="text1"/>
        </w:rPr>
        <w:t xml:space="preserve">й</w:t>
      </w:r>
      <w:r>
        <w:rPr>
          <w:rFonts w:ascii="Helvetica" w:hAnsi="Helvetica"/>
          <w:color w:val="000000" w:themeColor="text1"/>
        </w:rPr>
        <w:t xml:space="preserve"> одновременно</w:t>
      </w:r>
      <w:r>
        <w:rPr>
          <w:rFonts w:ascii="Helvetica" w:hAnsi="Helvetica"/>
          <w:color w:val="000000" w:themeColor="text1"/>
        </w:rPr>
        <w:t xml:space="preserve">: (1) </w:t>
      </w:r>
      <w:r>
        <w:rPr>
          <w:rFonts w:ascii="Helvetica" w:hAnsi="Helvetica"/>
          <w:color w:val="000000" w:themeColor="text1"/>
        </w:rPr>
        <w:t xml:space="preserve">Наименование/ФИО </w:t>
      </w:r>
      <w:r>
        <w:rPr>
          <w:rFonts w:ascii="Helvetica" w:hAnsi="Helvetica"/>
          <w:color w:val="000000" w:themeColor="text1"/>
        </w:rPr>
        <w:t xml:space="preserve">Лицензиата</w:t>
      </w:r>
      <w:r>
        <w:rPr>
          <w:rFonts w:ascii="Helvetica" w:hAnsi="Helvetica"/>
          <w:color w:val="000000" w:themeColor="text1"/>
        </w:rPr>
        <w:t xml:space="preserve">, за которого была произведена оплата</w:t>
      </w:r>
      <w:r>
        <w:rPr>
          <w:rFonts w:ascii="Helvetica" w:hAnsi="Helvetica"/>
          <w:color w:val="000000" w:themeColor="text1"/>
        </w:rPr>
        <w:t xml:space="preserve">,</w:t>
      </w:r>
      <w:r>
        <w:rPr>
          <w:rFonts w:ascii="Helvetica" w:hAnsi="Helvetica"/>
          <w:color w:val="000000" w:themeColor="text1"/>
        </w:rPr>
        <w:t xml:space="preserve"> указаны в назначении платежа</w:t>
      </w:r>
      <w:r>
        <w:rPr>
          <w:rFonts w:ascii="Helvetica" w:hAnsi="Helvetica"/>
          <w:color w:val="000000" w:themeColor="text1"/>
        </w:rPr>
        <w:t xml:space="preserve">; (2) Лицензиару поступило уведомление </w:t>
      </w:r>
      <w:r>
        <w:rPr>
          <w:rFonts w:ascii="Helvetica" w:hAnsi="Helvetica"/>
          <w:color w:val="000000" w:themeColor="text1"/>
        </w:rPr>
        <w:t xml:space="preserve">в порядке, определенном п. 14.4. настоящего Договора </w:t>
      </w:r>
      <w:r>
        <w:rPr>
          <w:rFonts w:ascii="Helvetica" w:hAnsi="Helvetica"/>
          <w:color w:val="000000" w:themeColor="text1"/>
        </w:rPr>
        <w:t xml:space="preserve">от фактически оплатившего лица </w:t>
      </w:r>
      <w:r>
        <w:rPr>
          <w:rFonts w:ascii="Helvetica" w:hAnsi="Helvetica"/>
          <w:color w:val="000000" w:themeColor="text1"/>
        </w:rPr>
        <w:t xml:space="preserve">с просьбой </w:t>
      </w:r>
      <w:r>
        <w:rPr>
          <w:rFonts w:ascii="Helvetica" w:hAnsi="Helvetica"/>
          <w:color w:val="000000" w:themeColor="text1"/>
        </w:rPr>
        <w:t xml:space="preserve">Лицензиата</w:t>
      </w:r>
      <w:r>
        <w:rPr>
          <w:rFonts w:ascii="Helvetica" w:hAnsi="Helvetica"/>
          <w:color w:val="000000" w:themeColor="text1"/>
        </w:rPr>
        <w:t xml:space="preserve"> оплатить </w:t>
      </w:r>
      <w:r>
        <w:rPr>
          <w:rFonts w:ascii="Helvetica" w:hAnsi="Helvetica"/>
          <w:color w:val="000000" w:themeColor="text1"/>
        </w:rPr>
        <w:t xml:space="preserve">Лицензионное </w:t>
      </w:r>
      <w:r>
        <w:rPr>
          <w:rFonts w:ascii="Helvetica" w:hAnsi="Helvetica"/>
          <w:color w:val="000000" w:themeColor="text1"/>
        </w:rPr>
        <w:t xml:space="preserve">вознаграждение за него. 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Лицензиат</w:t>
      </w:r>
      <w:r>
        <w:rPr>
          <w:rFonts w:ascii="Helvetica" w:hAnsi="Helvetica"/>
          <w:color w:val="000000" w:themeColor="text1"/>
        </w:rPr>
        <w:t xml:space="preserve">, </w:t>
      </w:r>
      <w:r>
        <w:rPr>
          <w:rFonts w:ascii="Helvetica" w:hAnsi="Helvetica"/>
          <w:color w:val="000000" w:themeColor="text1"/>
        </w:rPr>
        <w:t xml:space="preserve">осуществивший</w:t>
      </w:r>
      <w:r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А</w:t>
      </w:r>
      <w:r>
        <w:rPr>
          <w:rFonts w:ascii="Helvetica" w:hAnsi="Helvetica"/>
          <w:color w:val="000000" w:themeColor="text1"/>
        </w:rPr>
        <w:t xml:space="preserve">кцепт</w:t>
      </w:r>
      <w:r>
        <w:rPr>
          <w:rFonts w:ascii="Helvetica" w:hAnsi="Helvetica"/>
          <w:color w:val="000000" w:themeColor="text1"/>
        </w:rPr>
        <w:t xml:space="preserve"> Оферты</w:t>
      </w:r>
      <w:r>
        <w:rPr>
          <w:rFonts w:ascii="Helvetica" w:hAnsi="Helvetica"/>
          <w:color w:val="000000" w:themeColor="text1"/>
        </w:rPr>
        <w:t xml:space="preserve">, принимает на себя полностью и безоговорочно права и обязанности по Договору, а также подтверждает свое согласие на обработку персональных данных в соответствии с Политикой обработки персональных данных, доступной на странице </w:t>
      </w:r>
      <w:r>
        <w:rPr>
          <w:rFonts w:ascii="Helvetica" w:hAnsi="Helvetica"/>
          <w:color w:val="000000" w:themeColor="text1"/>
        </w:rPr>
        <w:t xml:space="preserve">https://raxs.ru/offer.php</w:t>
      </w:r>
      <w:r>
        <w:rPr>
          <w:rFonts w:ascii="Helvetica" w:hAnsi="Helvetica"/>
          <w:color w:val="000000" w:themeColor="text1"/>
        </w:rPr>
        <w:t xml:space="preserve">.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Оферта может быть в любое время изменена </w:t>
      </w:r>
      <w:r>
        <w:rPr>
          <w:rFonts w:ascii="Helvetica" w:hAnsi="Helvetica"/>
          <w:color w:val="000000" w:themeColor="text1"/>
        </w:rPr>
        <w:t xml:space="preserve">Лицензиаром</w:t>
      </w:r>
      <w:r>
        <w:rPr>
          <w:rFonts w:ascii="Helvetica" w:hAnsi="Helvetica"/>
          <w:color w:val="000000" w:themeColor="text1"/>
        </w:rPr>
        <w:t xml:space="preserve"> в одностороннем порядке, при этом актуальной считается версия, размещенная по адресу </w:t>
      </w:r>
      <w:r>
        <w:rPr>
          <w:rFonts w:ascii="Helvetica" w:hAnsi="Helvetica"/>
          <w:color w:val="000000" w:themeColor="text1"/>
        </w:rPr>
        <w:t xml:space="preserve">https://raxs.ru/offer.php.</w:t>
      </w:r>
      <w:r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Изменения в ранее заключенный Договор вступают в силу с даты опубликования новой редакции Оферты, либо в иной предусмотренный Офертой срок. </w:t>
      </w:r>
      <w:r>
        <w:rPr>
          <w:rFonts w:ascii="Helvetica" w:hAnsi="Helvetica"/>
          <w:color w:val="000000" w:themeColor="text1"/>
        </w:rPr>
        <w:t xml:space="preserve">Лицензиат</w:t>
      </w:r>
      <w:r>
        <w:rPr>
          <w:rFonts w:ascii="Helvetica" w:hAnsi="Helvetica"/>
          <w:color w:val="000000" w:themeColor="text1"/>
        </w:rPr>
        <w:t xml:space="preserve"> обязуется самостоятельно знакомиться со всеми изменениями и актуальной редакцией Оферты. 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Оплачивая </w:t>
      </w:r>
      <w:r>
        <w:rPr>
          <w:rFonts w:ascii="Helvetica" w:hAnsi="Helvetica"/>
          <w:color w:val="000000" w:themeColor="text1"/>
        </w:rPr>
        <w:t xml:space="preserve">Лицензионного </w:t>
      </w:r>
      <w:r>
        <w:rPr>
          <w:rFonts w:ascii="Helvetica" w:hAnsi="Helvetica"/>
          <w:color w:val="000000" w:themeColor="text1"/>
        </w:rPr>
        <w:t xml:space="preserve">вознаграждения</w:t>
      </w:r>
      <w:r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Лицензиара</w:t>
      </w:r>
      <w:r>
        <w:rPr>
          <w:rFonts w:ascii="Helvetica" w:hAnsi="Helvetica"/>
          <w:color w:val="000000" w:themeColor="text1"/>
        </w:rPr>
        <w:t xml:space="preserve">, </w:t>
      </w:r>
      <w:r>
        <w:rPr>
          <w:rFonts w:ascii="Helvetica" w:hAnsi="Helvetica"/>
          <w:color w:val="000000" w:themeColor="text1"/>
        </w:rPr>
        <w:t xml:space="preserve">Лицензиат</w:t>
      </w:r>
      <w:r>
        <w:rPr>
          <w:rFonts w:ascii="Helvetica" w:hAnsi="Helvetica"/>
          <w:color w:val="000000" w:themeColor="text1"/>
        </w:rPr>
        <w:t xml:space="preserve">: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2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гарантирует достоверность и актуальность </w:t>
      </w:r>
      <w:r>
        <w:rPr>
          <w:rFonts w:ascii="Helvetica" w:hAnsi="Helvetica"/>
          <w:color w:val="000000" w:themeColor="text1"/>
        </w:rPr>
        <w:t xml:space="preserve">предоставленных </w:t>
      </w:r>
      <w:r>
        <w:rPr>
          <w:rFonts w:ascii="Helvetica" w:hAnsi="Helvetica"/>
          <w:color w:val="000000" w:themeColor="text1"/>
        </w:rPr>
        <w:t xml:space="preserve">сведений;</w:t>
      </w:r>
      <w:r>
        <w:rPr>
          <w:rFonts w:ascii="Helvetica" w:hAnsi="Helvetica"/>
          <w:color w:val="000000" w:themeColor="text1"/>
        </w:rPr>
      </w:r>
    </w:p>
    <w:p>
      <w:pPr>
        <w:pStyle w:val="744"/>
        <w:numPr>
          <w:ilvl w:val="2"/>
          <w:numId w:val="2"/>
        </w:numPr>
        <w:contextualSpacing w:val="0"/>
        <w:ind w:left="426" w:hanging="710"/>
        <w:jc w:val="both"/>
        <w:spacing w:after="80"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соглашается, что он самостоятельно несет ответственность за любые последствия, возникающие в результате указания недостоверных, неактуальных или неполных сведений.</w:t>
      </w:r>
      <w:r>
        <w:rPr>
          <w:rFonts w:ascii="Helvetica" w:hAnsi="Helvetica"/>
          <w:color w:val="000000" w:themeColor="text1"/>
        </w:rPr>
      </w:r>
    </w:p>
    <w:p>
      <w:pPr>
        <w:ind w:firstLine="0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contextualSpacing w:val="0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ПРЕДМЕТ ДОГОВОРА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Предметом настоящего Договора является предоставление Лицензиаром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простой неисключительной лицензии на использование Программы в порядке и на условиях, предусмотренных настоящим Договором.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заключается до или непосредственно в момент начала использования Программы и действует на протяжении срока ее правомерного использования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в пределах срока действия авторского права на нее при условии соблюдения требований и ограничений, установленных в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contextualSpacing w:val="0"/>
        <w:ind w:left="426" w:firstLine="0"/>
        <w:jc w:val="both"/>
        <w:spacing w:after="80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contextualSpacing w:val="0"/>
        <w:ind w:left="426" w:hanging="710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АВТОРСКИЕ ПРАВА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Программа является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результатом интеллектуальной деятельности и объектом авторских прав ООО «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ПАЛ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» г.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Москва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(</w:t>
      </w:r>
      <w:r>
        <w:rPr>
          <w:rFonts w:ascii="Helvetica" w:hAnsi="Helvetica"/>
        </w:rPr>
        <w:t xml:space="preserve">ОГРН: 1157746533856, ИНН: 7725276866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)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омер свидетельства о регистрации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программного обеспечения для ЭВМ №2022667869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Алгоритмы работы Программы и ее исходные коды (в том числе их части) являются коммерческой тайной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Любое их использование или использование Программы в нарушение условий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рассматривается как нарушение прав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 является достаточным основанием для лишения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предоставленных по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прав.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гарантирует, что обладает всем необходимым объемом прав на Программу для предоставления их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включая документацию к Программе.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Авторские права на Прогр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амму регулируются и защищены законодательством Российской Федерации об интеллектуальной собственности и нормами международного права. Ответственность за нарушение указанных прав наступает в соответствии с действующим законодательством Российской Федерации.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Настоящим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 предоставляются никакие права на использование Товарных Знаков и Знаков Обслуживания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Программы.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 может ни при каких условиях удалять или делать малозаметными информацию и сведения об авторских правах, правах на товарные знаки или патенты, указанные в Программе.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 предоставляет право собственности на Программу и ее компоненты, а только право использования Программы и ее компонентов в соответствии с условиями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 может копировать, распространять Программу и ее компоненты, а также созданные на базе Программы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Сервисы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в любой форме, в том числе в виде исходного кода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каким-либо способом, в том числе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сдавать в аренду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или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прокат.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 разрешается использовать Программу каким-либо способом, если такое использование противоречит или приводит к нарушению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или действующего законодательства Российской Федерации.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contextualSpacing w:val="0"/>
        <w:ind w:left="426" w:firstLine="0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contextualSpacing w:val="0"/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ОБЪЕМ ЛИЦЕНЗИИ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Простое неисключительное право на использование Программы по настоящему Договору включает в себя право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на использование Программы в течение периода времени и в объеме функциональности, предусмотренных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Подпиской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оплаченн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ой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предоставляется возможность изменения настроек Программы, в пределах, доступных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 рамках одного Сервиса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before="100" w:beforeAutospacing="1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Результаты использования Программы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так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ж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е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все виды введенных первичных данных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Администратором Сервиса в отношении Пользователей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или полученных в результате функционирования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Программы, принадлежат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contextualSpacing w:val="0"/>
        <w:ind w:left="426" w:firstLine="0"/>
        <w:jc w:val="both"/>
        <w:spacing w:before="100" w:beforeAutospacing="1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contextualSpacing w:val="0"/>
        <w:ind w:left="426" w:hanging="568"/>
        <w:jc w:val="center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  <w:t xml:space="preserve">ПОРЯДОК И УСЛОВИЯ ПРЕДОСТАВЛЕНИ</w:t>
      </w: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  <w:t xml:space="preserve">Я</w:t>
      </w: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  <w:t xml:space="preserve"> ЛИЦЕНЗИИ</w:t>
      </w: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Для того чтобы воспользоваться Программой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необходимо пройти процедуру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егистрации, в результате которой для Администратора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будет создана уникальная Учетная запись. Для добавления Пользователей Администратору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необходимо зарегистрировать их в Личном кабинете путем заполнения соответствующей формы.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Количество допустимых Пользователей в рамках одного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определяется исходя из типа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выбранно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й Подписки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Для регистрации Администратор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обязуется предоставить достоверную и полную информацию о себе 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Пользователях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по вопросам, предлагаемым в форме регистрации, и поддерживать эту информацию в актуальном состоянии. Если Администратор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предоставляет неверную информацию или у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есть основания полагать, что предоставленная им информация неполна или недостоверна,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имеет право по своему усмотрению заблокировать либо удалить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Учетную запись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Администратора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а также запретить использование Программы.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При регистрации Пользователи самостоятельно выбирают себе логин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 формате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адреса электронной почты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(</w:t>
      </w:r>
      <w:r>
        <w:rPr>
          <w:rFonts w:ascii="Helvetica" w:hAnsi="Helvetica" w:eastAsia="Times New Roman" w:cs="Times New Roman"/>
          <w:color w:val="000000" w:themeColor="text1"/>
          <w:lang w:val="en-US" w:eastAsia="ru-RU"/>
        </w:rPr>
        <w:t xml:space="preserve">E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-</w:t>
      </w:r>
      <w:r>
        <w:rPr>
          <w:rFonts w:ascii="Helvetica" w:hAnsi="Helvetica" w:eastAsia="Times New Roman" w:cs="Times New Roman"/>
          <w:color w:val="000000" w:themeColor="text1"/>
          <w:lang w:val="en-US" w:eastAsia="ru-RU"/>
        </w:rPr>
        <w:t xml:space="preserve">mail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)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пароль для доступа к Учетной записи.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обязан следить за сохранностью своих учетных данных, необходимых для доступа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 Личный кабинет. Логин и пароль являются конфиденциальной информацией и не подлежат разглашению, за исключением случаев, предусмотренных действующим законодательством и Договором. Передача данных учетной записи третьим лицам не допускается. В случае если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получил данные учетной записи (логин и пароль) другого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запрещается распространять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использовать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информацию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которая разрешает доступ к Личному кабинету другого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любым способом.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несет ответственность за сохранность учетных данных и за убытки, которые могут возникнуть по причине передачи логина и пароля третьим лицам и (или) несанкционированного использования учетных данных третьими лицами не по вине Лицензиара.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обязан незамедлительно уведомить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о потере своего логина и пароля для Личного кабинета или о других случаях потери контроля над учетными данными.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Перечень действий, доступных к совершению в Личном кабинете, определяется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может изменяться им в одностороннем порядке.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Стороны настоящего Договора исходят из того, что все действия, совершенные Лицензиатом в Программе, совершены Лицензиатом с момента авторизации Лицензиата в Личном кабинете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вправе установить временное ограничение доступа к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Программе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(блокировку) в случа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е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нарушения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ми  условий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или условий иных связанных документов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Временное ограничение действует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до момента устранения нарушений Лицензиатом. После устранение выявленных нарушений, Лицензиат направляет Лицензиару соответствующие уведомление в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порядке, установленном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14.4.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настоящего Договора, и 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удостоверившись об устранении нарушений Лицензиатом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восстанавливает доступ к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Программе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в течение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2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(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двух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) рабоч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их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дн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ей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 момента получения такого уведомления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При неполучении Лицензиаром указанного в настоящем пункте уведомления по истечении 60 (шестидесяти) календарных дней с момента начала временного ограничения доступа к Сервису, Лицензиар вправе заблокировать доступ к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Программе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удалить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Учетную запись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Пользователи имеют возможность закрыть сво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ю Учетную запись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 самостоятельным удалением данных в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ней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что повлечет за собой потерю доступа к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Администратор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будет проинформирован о предстоящем закрытии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Учетной записи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Администратор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может запросить удаление своей Учетной записи с учетом следующего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: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br/>
        <w:t xml:space="preserve">(1) единственный Администратор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для удаления своей Учетной записи должен наделить другого Авторизованного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ользователя статусом Администратора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в противном случае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оставляет за собой право рассмотреть запрос Администратора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на удаление Учетной записи в индивидуальном порядке.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br/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(2) если в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несколько Администраторов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другие Администраторы будут немедленно проинформированы о предстоящем удалении Учетной записи Администратора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запросившего такое удаление.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Администратор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имеет право (при наличии соответствующей функциональности) инициировать процесс удаления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несет единоличную ответственность перед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как за инициирование процесса удаления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так и за удаление любых содержащихся в нем данных.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После инициирования процесса удаления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Сервис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будет удален не позднее чем через 90 (девяносто) дней.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contextualSpacing w:val="0"/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Техническая поддержка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оказывается Лицензиаром ежедневно с 10:00 по 18:00 часов по московскому времени. Ориентировочное время ответа составляет 4 (четыре) часа. Обращение в техническую поддержку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может производиться в порядке, установленном п. 14.4. настоящего 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jc w:val="both"/>
        <w:spacing w:after="80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ПРАВА И ОБЯЗАННОСТИ СТОРОН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 обязуется: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Своевременно и в сроки, установленные запросами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(или) вытекающими из существа обязательств (разумные сроки), предоставлять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все необходимые документы и информацию для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исполнения 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Своевременно сообщать обо всех изменениях почтовых и платежных реквизитов, наименования и организационно-правовой формы, смене лиц, имеющих право действовать от имени Стороны, юридического адреса и адреса фактического нахождения и иных данных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необходимых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для надлежащего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исполнения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Договор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Если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совершает действия, предусмотренные Договором, основываясь на информации, об изменении которой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не был поставлен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 известность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такие действия считаются совершенными надлежащим образом.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Выполнять своевременно надлежащим образом указания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которые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дает в рамках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исполнения 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  <w:t xml:space="preserve"> НЕ вправе: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олучать доступ к исходному коду Программы, редактировать и/или изучать исходный код Программы, вскрывать технологию работы Программы;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И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спользовать Программу для совершения противозаконных действий;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К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опировать, воспроизводить Программу или отдельные ее элементы и сохранять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рограмму на материальном носителе с целью передачи третьим лицам;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Р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азмещать в Программе и/или с использованием Программы файлы вирусов и иных вредоносных программ, распространять вредоносные программы с использованием Программы;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ытаться обойти технические ограничения, установленные в Программе;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убликовать Программу, предоставляя третьим лицам возможность ее копирования;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редоставлять Программу в прокат, в аренду или во временное пользование третьим лицам.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 вправе: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Требовать от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надлежащего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исполнения Договора согласно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выбранно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 оплаченно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Подписке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Запрашивать информацию по любым вопросам, касающимся организации исполнения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обязательств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по Договору.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 обязуется: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Передать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простую неисключительную лицензию на использование Программы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на условиях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выбранно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оплаченно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Подписки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Оказывать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техническую поддержку на условиях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Договора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 вправе: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Использовать информацию, полученную от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для целей ее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консолидации, агрегации, составления статистических, маркетинговых, отраслевых и прочих отчетов следующими способами: сбор, систематизацию, накопление, хранение, уточнение (обновление, изменение), использование, обезличивание, блокирование и уничтожение. 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Не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передавать простую неисключительную лицензию на использование Программы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(приостановить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исполнение обязательств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) при непоступлении оплаты от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согласно выбранной им Подписке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ПОРЯДОК ОПЛАТЫ И ОТМЕНЫ ПОДПИСКИ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Все расчеты Сторон по настоящему Договору производятся в рублях Российской Федерации. Лицензионное вознаграждение не облагается НДС на основании п. 26, ч.2. ст. 149 НК РФ.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Размер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ицензионного вознаграждения определяется на основании выбранн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ой Лицензиатом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Подписки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Лицензионное вознаграждение считается оплаченным с момента поступления соответствующей суммы денежных средств от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 или третьего лица в соответствии с п. 2.3. настоящего Договора за 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на расчетный счет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 Не допускается частичная оплата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предусмотренно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й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выбранн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ой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Подписки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ицензионного вознаграждения.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имеет право изменить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Подписку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в сторону увеличения функций. Для этого он направляет заявку способом, указанным в разделе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Личный кабинет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-&gt;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Подписка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предоставляет, 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принимает дополнительный объем неисключительных прав в порядке, указанном в разделе 6 Договора.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также вправе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изменить Подписку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в сторону уменьшения функций, с момента истечения оплаченного срока предоставления прав на Программу.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По истечении оплаченного срока предоставления прав,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прекращает доступ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к Программе путем Блокировки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 случае если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не оплачивает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Лицензионное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вознаграждение за следующий период использования прав на Программу в течение 30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(тридцать)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и более дней с момента наступления состояния Блокировки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рассматривает такие действия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как отказ от исполнения Договора.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В таком случае Лицензиар вправе удалить все данные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по истечении 60 (шестидесяти) календарных дней с момента окончания последнего оплаченного периода Подписки. 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вправе отказаться от продления Подписки путем невнесения оплаты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ицензионного вознаграждения за следующий период.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В таком случае П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одписка может быть отменена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по истечении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месяца, следующего за месяцем направления отказа от Подписки в адрес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случае, если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не использовал переданное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простое неисключительное право в течение срока его предоставления, но не уведомил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об отказе от Подписки, обязанность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по передаче неисключительного права считается в полном объеме исполненной, а возврат оплаченного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Лицензионного вознаграждения не производится.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  <w:t xml:space="preserve">Рекуррентный платеж. </w:t>
      </w: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С момента Акцепта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Оферты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безусловно соглашается с подключением рекуррентного платеж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за предоставление простой неисключительной лицензии по Договору, путём предоставления соглас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ия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на автоматическое списание денежных средств с Банковской карты/Расчетного счета в пользу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в размере и в соответствии с выбран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ной Подпиской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Рекуррентный платеж подключается для Банковской карты/Расчетного счета, зарегистрированного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- Держателем карты, владельцем Расчетного счета.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Рекуррентные платежи, осуществляться в сроки и размерах, необходимых для надлежащего исполнения обязанности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по оплате простой неисключительной лицензии за пользование Программой.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не хранит и не обрабатывает данные Банковских карт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Лицензиатов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обеспечивая лишь запросы для повторного проведения операции по Банковской карте/Расчетному счету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гарантирует, что он является Держателем Банковской карты, самостоятельно, осознанно, корректно и полностью вводит все требуемые реквизиты Банковской карты.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Совершение рекуррентного платежа, в порядке, предусмотренном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настоящим Договором,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осуществляется только при наличии технической возможности Банка (Банка-эмитента), Платежной Системы.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не гарантирует возможность проведения операций по Банковской карте.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 случае недостаточности денежных средств на счете Банковской карты для осуществления перевода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имеет право повторять запрос на списание с Банковской карты денежных средств либо потребовать оплаты.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самостоятельно контролирует исполнение своей обязанности по оплате по Договору. При неработоспособности и/или временной неработоспособности Рекуррентного платежа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обязан использовать иные способы исполнения обязанностей.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КОНФИДЕНЦИАЛЬНОСТЬ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Для целей настоящего раздела Договора термин: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«Раскрывающая сторона» означает для целей каждого случая обмена Конфиденциальной Информацией в соответствии с Договором Сторону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(аффилированные лица, члены органа управления, работники, консультанты, представители (далее – Представители Раскрывающей Стороны))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предоставляющую  Конфиденциальную Информацию другой Стороне.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«Получающая Сторона» означает для целей каждого случая обмена Конфиденциальной Информацией в соответствии с Договором Сторону, которая получает (аффилированные лица, члены органа управления, работники,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консультанты, инвесторы, представители (далее – Представители Получающей Стороны)) Конфиденциальную Информацию от другой Стороны.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«Съемные носители информации» означают малогабаритные технические и электронные средства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«Конфиденциальность информации» означает обязательное для выполнения лицом, получившим доступ к определенной информации, 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ребование не передавать такую информацию третьим лицам без согласия ее обладателя (Федеральный закон от 27.07.2006 № 149-ФЗ «Об информации, информационных технологиях и о защите информации», Федеральный закон от 27.07.2006 №152-ФЗ «О персональных данных»).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«Конфиденциальная Информация» означает любую информацию, предоставляемую в рамках Договора в любой форме (в том числе, но не 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граничиваясь, письменно, устно, посредством использования телефонной связи, факса, электронной почты, съемных носителей информации, Платформы Агента) Раскрывающей Стороной и Представителями Раскрывающей Стороны Получающей Стороне и Представителям Получающе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й Стороны, за исключением информации, ставшей общедоступной по решению Раскрывающей Стороны либо в силу применимого к ней законодательства. При этом получающей и/или раскрывающей Стороной может выступать любая Сторона Договора или обе Стороны одновременно.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«Разглашение Конфиденциальной Информации» (либо в зависимости от контекста «разглашать Конфиденциальную инфо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Договора.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Получающая Сторона обязуется не разглашать Конфиденциальную Информацию, использовать Конфиденциальную Информацию исключительно в рамках предмета Договора, в целях исполнени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я обязательств по Договору, не использовать Конфиденциальную Информацию в каких-либо иных целях и/или во вред Раскрывающей Стороне и обеспечить такие условия, чтобы Представители Получающей Стороны не использовали Конфиденциальную Информацию в таких целях.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Получающая Сторона обязуется обеспечить сохранение конфиденциальности всей Конфиденциальной Информации и без письменного со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правилами биржи или по запросу уполн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предоставлена им только в случае, когда обязанность по ее предоставлению прямо установлена действующим законодательством.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При этом до предоставления Конфиденциальной Информации, требующей раскрытия, Получающая Сторона предварительно в письменном виде уведомляет Раскрывающую Сторон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ющей юрисдикции,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Получающая Сторона соглашается, что, если в соответствии с законодательством Российской Федерации или иной ю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рисдикции, информация, относящаяся к Конфиденциальной Информации в соответствии с Договором, не подлежит защите или подлежит защите в меньшей степени, чем предусмотрено Договором, это не отменяет и не уменьшает обязательств Получающей Стороны по Договору.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Получающая Сторона имеет право предоставлять Конфиденциальную Информацию Представителям Получающей Стороны без предварительного письме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нного согласия Раскрывающей Стороны в той мере, в которой это необходимо в рамках исполнения обязательств по Договору, и при условии обеспечения Получающей Стороной Режима конфиденциальности в отношении Конфиденциальной Информации. Получающая Сторона несёт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 случае Разглашения Конфиденциальной Информации Получающей Стороной, иных нарушений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ind w:left="426" w:hanging="568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ОТВЕТСТВЕННОСТЬ СТОРОН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 несет ответственности за: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Неисправности, ошибки, сбои в работе программных и/или аппаратных средств, обеспечивающих работоспособность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Программы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а также за отсутствие у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доступа к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Программе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возникшие по причинам, не зависящим от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, а также связанные с этим убытки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и (или) любого третьего лица.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Содержание документов, данных и информации,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а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также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результатов выполнения Программы на основе этих документов, данных и информации,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полученных от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 осуществляет проверки содержания, подлинности и безопасности этих материалов либо их компонентов, а равно их соответствие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требованиям действующего законодательства и наличия у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необходимого объема прав на их использование.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jc w:val="center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  <w:outlineLvl w:val="2"/>
      </w:pPr>
      <w:r>
        <w:rPr>
          <w:rFonts w:ascii="Helvetica" w:hAnsi="Helvetica" w:eastAsia="Times New Roman" w:cs="Arial"/>
          <w:b/>
          <w:bCs/>
          <w:color w:val="000000" w:themeColor="text1"/>
          <w:lang w:eastAsia="ru-RU"/>
        </w:rPr>
        <w:t xml:space="preserve">ДЕЙСТВИЕ ДОГОВОРА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Датой заключения настоящего Договора является дата совершения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кцепта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О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ферты и оплаты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Подписки. Момент оплаты определяется согласно п.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8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3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. настоящего Договора.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Договор действует в течение 1 (одного) года с момента его заключения. Для целей настоящего Договора год при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нимается равным 365 дням. В случае, если ни одна из Сторон не уведомила другую Сторону о намерении расторгнуть настоящий Договор, по истечении срока его действия он автоматически продлевается на следующий год. Количество пролонгаций Договора не ограничено.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 случае нарушения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условий настоящего Договора, в частности: нарушения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условий об объеме лицензии, а также нарушения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прав и законных интересов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виновно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го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причинени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я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убытков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Лицензиару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вправе досрочно, во внесудебном порядке расторгнуть Договор и незамедлительно блокировать доступ к Программе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в том числе к Сервису и Личному Кабинету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с предварительным уведомлением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не позднее даты Блокировки. При этом возврат суммы Лицензионного вознаграждения за период блокировки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Сервиса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не производится.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 случае отказа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от дальнейшего исполнения настоящего Договора,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вправе удалить все данные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связанные с его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Личным кабинетом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и сам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Личный кабинет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, по истечении 60 (шестидесяти) дней с момента окончания последнего оплаченного периода Подписки.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имеет право в одностороннем внесудебном порядке отказаться от исполнения обязательств по данному Договору, направив уведомление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Лицензиату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не позднее, чем за 30 (тридцать) дней до планируемой даты расторжения Договора.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before="100" w:beforeAutospacing="1" w:after="80" w:line="276" w:lineRule="auto"/>
        <w:shd w:val="clear" w:color="auto" w:fill="ffffff"/>
        <w:rPr>
          <w:rFonts w:ascii="Helvetica" w:hAnsi="Helvetica" w:eastAsia="Times New Roman" w:cs="Arial"/>
          <w:color w:val="000000" w:themeColor="text1"/>
          <w:lang w:eastAsia="ru-RU"/>
        </w:rPr>
      </w:pP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Лицензиар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вправе в любое время, в одностороннем внесудебном порядке, вносить изменения в текст Договора. Изменения в условия Договора начинают свое действие и вступают в силу с момента опубликования по адресу в сети Интернет </w:t>
      </w:r>
      <w:hyperlink r:id="rId13" w:tooltip="https://raxs.ru/offer.php" w:history="1">
        <w:r>
          <w:rPr>
            <w:rStyle w:val="755"/>
            <w:rFonts w:ascii="Helvetica" w:hAnsi="Helvetica"/>
          </w:rPr>
          <w:t xml:space="preserve">https://raxs.ru/offer.php</w:t>
        </w:r>
      </w:hyperlink>
      <w:r>
        <w:rPr>
          <w:rFonts w:ascii="Helvetica" w:hAnsi="Helvetica"/>
          <w:color w:val="000000" w:themeColor="text1"/>
        </w:rPr>
        <w:t xml:space="preserve">.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соглашается и признает, что, продолжая использование Программы после вступления в силу соответствующих изменений,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выражает свое полное и безусловное согласие с новыми условиями Договора. 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Лицензиат</w:t>
      </w:r>
      <w:r>
        <w:rPr>
          <w:rFonts w:ascii="Helvetica" w:hAnsi="Helvetica" w:eastAsia="Times New Roman" w:cs="Arial"/>
          <w:color w:val="000000" w:themeColor="text1"/>
          <w:lang w:eastAsia="ru-RU"/>
        </w:rPr>
        <w:t xml:space="preserve"> самостоятельно отслеживает изменение условий настоящего Договора.</w:t>
      </w:r>
      <w:r>
        <w:rPr>
          <w:rFonts w:ascii="Helvetica" w:hAnsi="Helvetica" w:eastAsia="Times New Roman" w:cs="Arial"/>
          <w:color w:val="000000" w:themeColor="text1"/>
          <w:lang w:eastAsia="ru-RU"/>
        </w:rPr>
      </w:r>
    </w:p>
    <w:p>
      <w:pPr>
        <w:ind w:left="426" w:hanging="568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ОБСТОЯТЕЛЬСТВА НЕПРЕОДОЛИМОЙ СИЛЫ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Стороны могут быть освобождены от своих обязательств по Договору на тот период времени, в котором испо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лнение обязательств становится невозможным полностью или частично в связи с наступлением обстоятельств непреодолимой силы. В настоящем Договоре обстоятельства непреодолимой силы означают любые обстоятельства, находящиеся вне разумного контроля Стороны, зая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вляющей об обстоятельствах непреодолимой силы, причину и последствия которых данная Сторона не могла предвидеть на разумных основаниях. К форс-мажорным обстоятельствам относятся: военные действия, восстание, революция, террористический акт, ядерный взрыв,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стихийные бедствия, эпидемии, эпизоотии, издание запретительных актов органов государственной власти. Отсутствие у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Лицензиата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денежных средств для оплаты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Лицензионного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вознаграждения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не может рассматриваться в качестве обстоятельства непреодолимой силы.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Надлежащим доказательством наличия указанных выше обстоятельств непреодолимой силы и их продолжительности является свидетельство торгово-промышленной палаты субъекта Российской Федерации, в котором такие обстоятельства наступили.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Сторона по Договору, при наступлении форс-мажорных обстоятельств, должна незамедлительно уведомить другую Сторону.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Если Сторона, ссылающаяся на обстоятельс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тва непреодолимой силы, не уведомит другую Сторону или уведомит ее об их наступлении или окончании их последствий с запозданием, она несет ответственность перед другой Стороной за любые дополнительные убытки, вызванные неподачей или несвоевременной подачей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такого уведомления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 случае если обстоятельства непреодоли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мой силы или их последствия продолжаются в течение более 30 (тридцати) календарных дней либо если обстоятельством непреодолимой силы являются изменения в законодательстве, Стороны обязуются незамедлительно провести переговоры с тем, чтобы прийти к соглашен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ию о внесении таких изменений в настоящий Договор, которые необходимы Сторонам для продолжения выполнения своих обязательств по Договору в порядке, в максимально возможной степени приближенном к предусмотренному на момент подписания настоящего Договора. Ес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 в течение 10 (десяти) календарных дней с даты начала переговоров такое решение не будет достигнуто, каждая из Сторон имеет право в одностороннем внесудебном порядке отказаться от исполнения настоящего договора, письменно уведомив об этом другую Сторону.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ПОРЯДОК РАЗРЕШЕНИЯ СПОРОВ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Досудебный порядок урегулирования споров является обязательным. Досудебный порядок урегулирования спора считается соблюденным и в том случае, если одна из Сторон направила другой Стороне письменную претензию, но не получила ответ н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а нее в течение 10 (десяти) календарных дней с момента её получения другой Стороной или получила в вышеуказанный срок отказ в удовлетворении претензии полностью или в части. Претензия также направляется по адресу электронной почты соответствующей Стороны.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При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недостижении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 соглашения по спорным вопросам, по истечении 10 (десяти) календарных дней со дня получения претензии другой Стороной, заинтересованная Сторона вправе передать данный спор на рассмотрение Арбитражного суда города Санкт-Петербурга и Ленинградской области.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ПРОЧИЕ УСЛОВИЯ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Недействительность одно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го из условий Договора не влечёт недействительности всего Договора в целом. В случае признания условия Договора недействительным, стороны обязаны вступить в переговоры и изменить Договор таким образом, чтобы он продолжил своё действие (при необходимости).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 признает надлежащим контактным лицом со стороны Лицензиата Администратора Сервиса.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Лицензиар вправе направлять Лицензиату юридически значимые сообщения посредством следующих каналов связи: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Путем уведомления в Личном Кабинете;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2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Путем направления на контактный адрес электронной почты Администратора Сервиса, указанный в Личном Кабинете.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Стороны признают юридическую силу переписки в Личном Кабинете, а также сканы и/или электронные версии документов, включая, но не ограничиваясь: уведомления, претензии,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заявления, соглашения, направленные в переписке между Лицензиаром и Лицензиатом в Личном Кабинете или по адресам электронных почт Сторон, где электронная почта Лицензиара указана в разделе 15 настоящего Договора, и Лицензиата – в Личном Кабинете. 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1"/>
          <w:numId w:val="2"/>
        </w:numPr>
        <w:ind w:left="426" w:hanging="71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  <w:t xml:space="preserve">Во всём остальном, что не урегулировано Договором, Стороны руководствуются действующим законодательством Российской Федерации.</w:t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ind w:left="426" w:firstLine="0"/>
        <w:jc w:val="both"/>
        <w:spacing w:after="80" w:line="276" w:lineRule="auto"/>
        <w:shd w:val="clear" w:color="auto" w:fill="ffffff"/>
        <w:rPr>
          <w:rFonts w:ascii="Helvetica" w:hAnsi="Helvetica" w:eastAsia="Times New Roman" w:cs="Times New Roman"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color w:val="000000" w:themeColor="text1"/>
          <w:lang w:eastAsia="ru-RU"/>
        </w:rPr>
      </w:r>
      <w:r>
        <w:rPr>
          <w:rFonts w:ascii="Helvetica" w:hAnsi="Helvetica" w:eastAsia="Times New Roman" w:cs="Times New Roman"/>
          <w:color w:val="000000" w:themeColor="text1"/>
          <w:lang w:eastAsia="ru-RU"/>
        </w:rPr>
      </w:r>
    </w:p>
    <w:p>
      <w:pPr>
        <w:pStyle w:val="744"/>
        <w:numPr>
          <w:ilvl w:val="0"/>
          <w:numId w:val="2"/>
        </w:numPr>
        <w:ind w:left="426" w:hanging="568"/>
        <w:jc w:val="center"/>
        <w:spacing w:after="80" w:line="276" w:lineRule="auto"/>
        <w:shd w:val="clear" w:color="auto" w:fill="ffffff"/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pP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РЕКВИЗИТЫ 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  <w:t xml:space="preserve">ЛИЦЕНЗИАРА</w:t>
      </w:r>
      <w:r>
        <w:rPr>
          <w:rFonts w:ascii="Helvetica" w:hAnsi="Helvetica" w:eastAsia="Times New Roman" w:cs="Times New Roman"/>
          <w:b/>
          <w:bCs/>
          <w:color w:val="000000" w:themeColor="text1"/>
          <w:lang w:eastAsia="ru-RU"/>
        </w:rPr>
      </w:r>
    </w:p>
    <w:p>
      <w:r/>
      <w:r/>
    </w:p>
    <w:p>
      <w:pPr>
        <w:ind w:left="426" w:firstLine="0"/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 xml:space="preserve">Общество с ограниченной ответственностью «ПАЛ»</w:t>
      </w:r>
      <w:r>
        <w:rPr>
          <w:rFonts w:ascii="Helvetica" w:hAnsi="Helvetica"/>
        </w:rPr>
      </w:r>
    </w:p>
    <w:p>
      <w:pPr>
        <w:ind w:left="426" w:firstLine="0"/>
        <w:spacing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ОГРН: 1157746533856, ИНН: 7725276866, </w:t>
      </w:r>
      <w:r>
        <w:rPr>
          <w:rFonts w:ascii="Helvetica" w:hAnsi="Helvetica"/>
          <w:color w:val="000000" w:themeColor="text1"/>
        </w:rPr>
      </w:r>
    </w:p>
    <w:p>
      <w:pPr>
        <w:ind w:left="426" w:firstLine="0"/>
        <w:spacing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Адрес местонахождения: 109029, город Москва, Михайловский </w:t>
      </w:r>
      <w:r>
        <w:rPr>
          <w:rFonts w:ascii="Helvetica" w:hAnsi="Helvetica"/>
          <w:color w:val="000000" w:themeColor="text1"/>
        </w:rPr>
        <w:t xml:space="preserve">пр</w:t>
      </w:r>
      <w:r>
        <w:rPr>
          <w:rFonts w:ascii="Helvetica" w:hAnsi="Helvetica"/>
          <w:color w:val="000000" w:themeColor="text1"/>
        </w:rPr>
        <w:t xml:space="preserve">-д, д. 1 стр. 1, офис 530</w:t>
      </w:r>
      <w:r>
        <w:rPr>
          <w:rFonts w:ascii="Helvetica" w:hAnsi="Helvetica"/>
          <w:color w:val="000000" w:themeColor="text1"/>
        </w:rPr>
      </w:r>
    </w:p>
    <w:p>
      <w:pPr>
        <w:ind w:left="426" w:firstLine="0"/>
        <w:spacing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Почтовый адрес: </w:t>
      </w:r>
      <w:r>
        <w:rPr>
          <w:rFonts w:ascii="Helvetica" w:hAnsi="Helvetica"/>
          <w:color w:val="000000" w:themeColor="text1"/>
        </w:rPr>
        <w:t xml:space="preserve">109029, город Москва, Михайловский </w:t>
      </w:r>
      <w:r>
        <w:rPr>
          <w:rFonts w:ascii="Helvetica" w:hAnsi="Helvetica"/>
          <w:color w:val="000000" w:themeColor="text1"/>
        </w:rPr>
        <w:t xml:space="preserve">пр</w:t>
      </w:r>
      <w:r>
        <w:rPr>
          <w:rFonts w:ascii="Helvetica" w:hAnsi="Helvetica"/>
          <w:color w:val="000000" w:themeColor="text1"/>
        </w:rPr>
        <w:t xml:space="preserve">-д, д. 1 стр. 1, офис 530</w:t>
      </w:r>
      <w:r>
        <w:rPr>
          <w:rFonts w:ascii="Helvetica" w:hAnsi="Helvetica"/>
          <w:color w:val="000000" w:themeColor="text1"/>
        </w:rPr>
      </w:r>
    </w:p>
    <w:p>
      <w:pPr>
        <w:ind w:left="426" w:firstLine="0"/>
        <w:spacing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Наименование банка</w:t>
      </w:r>
      <w:r>
        <w:rPr>
          <w:rFonts w:ascii="Helvetica" w:hAnsi="Helvetica"/>
          <w:color w:val="000000" w:themeColor="text1"/>
        </w:rPr>
        <w:t xml:space="preserve">: </w:t>
      </w:r>
      <w:r>
        <w:rPr>
          <w:rFonts w:ascii="Helvetica" w:hAnsi="Helvetica"/>
          <w:color w:val="000000" w:themeColor="text1"/>
        </w:rPr>
        <w:t xml:space="preserve">ПОВОЛЖСКИЙ ФИЛИАЛ АО "РАЙФФАЙЗЕНБАНК" </w:t>
      </w:r>
      <w:r>
        <w:rPr>
          <w:rFonts w:ascii="Helvetica" w:hAnsi="Helvetica"/>
          <w:color w:val="000000" w:themeColor="text1"/>
        </w:rPr>
      </w:r>
    </w:p>
    <w:p>
      <w:pPr>
        <w:ind w:left="426" w:firstLine="0"/>
        <w:spacing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Расчетный счет</w:t>
      </w:r>
      <w:r>
        <w:rPr>
          <w:rFonts w:ascii="Helvetica" w:hAnsi="Helvetica"/>
          <w:color w:val="000000" w:themeColor="text1"/>
        </w:rPr>
        <w:t xml:space="preserve">: </w:t>
      </w:r>
      <w:r>
        <w:rPr>
          <w:rFonts w:ascii="Helvetica" w:hAnsi="Helvetica"/>
          <w:color w:val="000000" w:themeColor="text1"/>
        </w:rPr>
        <w:t xml:space="preserve">40702810823000107239</w:t>
      </w:r>
      <w:r>
        <w:rPr>
          <w:rFonts w:ascii="Helvetica" w:hAnsi="Helvetica"/>
          <w:color w:val="000000" w:themeColor="text1"/>
        </w:rPr>
      </w:r>
    </w:p>
    <w:p>
      <w:pPr>
        <w:ind w:left="426" w:firstLine="0"/>
        <w:spacing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Корреспондирующий счет</w:t>
      </w:r>
      <w:r>
        <w:rPr>
          <w:rFonts w:ascii="Helvetica" w:hAnsi="Helvetica"/>
          <w:color w:val="000000" w:themeColor="text1"/>
        </w:rPr>
        <w:t xml:space="preserve">: </w:t>
      </w:r>
      <w:r>
        <w:rPr>
          <w:rFonts w:ascii="Helvetica" w:hAnsi="Helvetica"/>
          <w:color w:val="000000" w:themeColor="text1"/>
        </w:rPr>
        <w:t xml:space="preserve">30101810300000000847</w:t>
      </w:r>
      <w:r>
        <w:rPr>
          <w:rFonts w:ascii="Helvetica" w:hAnsi="Helvetica"/>
          <w:color w:val="000000" w:themeColor="text1"/>
        </w:rPr>
      </w:r>
    </w:p>
    <w:p>
      <w:pPr>
        <w:ind w:left="426" w:firstLine="0"/>
        <w:spacing w:line="276" w:lineRule="auto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БИК</w:t>
      </w:r>
      <w:r>
        <w:rPr>
          <w:rFonts w:ascii="Helvetica" w:hAnsi="Helvetica"/>
          <w:color w:val="000000" w:themeColor="text1"/>
        </w:rPr>
        <w:t xml:space="preserve">: </w:t>
      </w:r>
      <w:r>
        <w:rPr>
          <w:rFonts w:ascii="Helvetica" w:hAnsi="Helvetica"/>
          <w:color w:val="000000" w:themeColor="text1"/>
        </w:rPr>
        <w:t xml:space="preserve">042202847</w:t>
      </w:r>
      <w:r>
        <w:rPr>
          <w:rFonts w:ascii="Helvetica" w:hAnsi="Helvetica"/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right"/>
      <w:tblCellMar>
        <w:left w:w="115" w:type="dxa"/>
        <w:top w:w="115" w:type="dxa"/>
        <w:right w:w="115" w:type="dxa"/>
        <w:bottom w:w="115" w:type="dxa"/>
      </w:tblCellMar>
      <w:tblLook w:val="04A0" w:firstRow="1" w:lastRow="0" w:firstColumn="1" w:lastColumn="0" w:noHBand="0" w:noVBand="1"/>
    </w:tblPr>
    <w:tblGrid>
      <w:gridCol w:w="8887"/>
      <w:gridCol w:w="468"/>
    </w:tblGrid>
    <w:tr>
      <w:trPr>
        <w:jc w:val="right"/>
      </w:trPr>
      <w:tc>
        <w:tcPr>
          <w:tcW w:w="4795" w:type="dxa"/>
          <w:vAlign w:val="center"/>
          <w:textDirection w:val="lrTb"/>
          <w:noWrap w:val="false"/>
        </w:tcPr>
        <w:sdt>
          <w:sdtPr>
            <w:alias w:val="Автор"/>
            <w15:appearance w15:val="boundingBox"/>
            <w:id w:val="1534539408"/>
            <w:placeholder>
              <w:docPart w:val="AAD5E28BD601634CA47DD47A18C3CBC3"/>
            </w:placeholder>
            <w:tag w:val=""/>
            <w:rPr>
              <w:rFonts w:ascii="Helvetica" w:hAnsi="Helvetica"/>
            </w:rPr>
          </w:sdtPr>
          <w:sdtContent>
            <w:p>
              <w:pPr>
                <w:pStyle w:val="722"/>
                <w:jc w:val="right"/>
                <w:rPr>
                  <w:caps/>
                  <w:color w:val="000000" w:themeColor="text1"/>
                </w:rPr>
              </w:pPr>
              <w:r>
                <w:rPr>
                  <w:rFonts w:ascii="Helvetica" w:hAnsi="Helvetica"/>
                </w:rPr>
                <w:t xml:space="preserve">ООО «ПАЛ» ОГРН: 1157746533856, ИНН: 7725276866</w:t>
              </w:r>
              <w:r>
                <w:rPr>
                  <w:caps/>
                  <w:color w:val="000000" w:themeColor="text1"/>
                </w:rPr>
              </w:r>
            </w:p>
          </w:sdtContent>
        </w:sdt>
      </w:tc>
      <w:tc>
        <w:tcPr>
          <w:shd w:val="clear" w:color="auto" w:fill="767171" w:themeFill="background2" w:themeFillShade="80"/>
          <w:tcW w:w="250" w:type="pct"/>
          <w:vAlign w:val="center"/>
          <w:textDirection w:val="lrTb"/>
          <w:noWrap w:val="false"/>
        </w:tcPr>
        <w:p>
          <w:pPr>
            <w:pStyle w:val="724"/>
            <w:ind w:right="-690" w:firstLine="38"/>
            <w:tabs>
              <w:tab w:val="clear" w:pos="4677" w:leader="none"/>
              <w:tab w:val="clear" w:pos="9355" w:leader="none"/>
            </w:tabs>
            <w:rPr>
              <w:rFonts w:ascii="Helvetica" w:hAnsi="Helvetica"/>
              <w:color w:val="ffffff" w:themeColor="background1"/>
            </w:rPr>
          </w:pPr>
          <w:r>
            <w:rPr>
              <w:rFonts w:ascii="Helvetica" w:hAnsi="Helvetica"/>
              <w:color w:val="ffffff" w:themeColor="background1"/>
            </w:rPr>
            <w:fldChar w:fldCharType="begin"/>
          </w:r>
          <w:r>
            <w:rPr>
              <w:rFonts w:ascii="Helvetica" w:hAnsi="Helvetica"/>
              <w:color w:val="ffffff" w:themeColor="background1"/>
            </w:rPr>
            <w:instrText xml:space="preserve">PAGE   \* MERGEFORMAT</w:instrText>
          </w:r>
          <w:r>
            <w:rPr>
              <w:rFonts w:ascii="Helvetica" w:hAnsi="Helvetica"/>
              <w:color w:val="ffffff" w:themeColor="background1"/>
            </w:rPr>
            <w:fldChar w:fldCharType="separate"/>
          </w:r>
          <w:r>
            <w:rPr>
              <w:rFonts w:ascii="Helvetica" w:hAnsi="Helvetica"/>
              <w:color w:val="ffffff" w:themeColor="background1"/>
            </w:rPr>
            <w:t xml:space="preserve">12</w:t>
          </w:r>
          <w:r>
            <w:rPr>
              <w:rFonts w:ascii="Helvetica" w:hAnsi="Helvetica"/>
              <w:color w:val="ffffff" w:themeColor="background1"/>
            </w:rPr>
            <w:fldChar w:fldCharType="end"/>
          </w:r>
          <w:r>
            <w:rPr>
              <w:rFonts w:ascii="Helvetica" w:hAnsi="Helvetica"/>
              <w:color w:val="ffffff" w:themeColor="background1"/>
            </w:rPr>
          </w:r>
        </w:p>
      </w:tc>
    </w:tr>
  </w:tbl>
  <w:p>
    <w:pPr>
      <w:pStyle w:val="7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56" w:hanging="360"/>
      </w:pPr>
      <w:rPr>
        <w:rFonts w:hint="default" w:ascii="Times New Roman" w:hAnsi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ind w:left="0" w:right="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9"/>
    <w:link w:val="736"/>
    <w:uiPriority w:val="10"/>
    <w:rPr>
      <w:sz w:val="48"/>
      <w:szCs w:val="48"/>
    </w:rPr>
  </w:style>
  <w:style w:type="character" w:styleId="37">
    <w:name w:val="Subtitle Char"/>
    <w:basedOn w:val="719"/>
    <w:link w:val="738"/>
    <w:uiPriority w:val="11"/>
    <w:rPr>
      <w:sz w:val="24"/>
      <w:szCs w:val="24"/>
    </w:rPr>
  </w:style>
  <w:style w:type="character" w:styleId="39">
    <w:name w:val="Quote Char"/>
    <w:link w:val="745"/>
    <w:uiPriority w:val="29"/>
    <w:rPr>
      <w:i/>
    </w:rPr>
  </w:style>
  <w:style w:type="character" w:styleId="41">
    <w:name w:val="Intense Quote Char"/>
    <w:link w:val="747"/>
    <w:uiPriority w:val="30"/>
    <w:rPr>
      <w:i/>
    </w:rPr>
  </w:style>
  <w:style w:type="character" w:styleId="43">
    <w:name w:val="Header Char"/>
    <w:basedOn w:val="719"/>
    <w:link w:val="722"/>
    <w:uiPriority w:val="99"/>
  </w:style>
  <w:style w:type="character" w:styleId="45">
    <w:name w:val="Footer Char"/>
    <w:basedOn w:val="719"/>
    <w:link w:val="724"/>
    <w:uiPriority w:val="99"/>
  </w:style>
  <w:style w:type="character" w:styleId="47">
    <w:name w:val="Caption Char"/>
    <w:basedOn w:val="735"/>
    <w:link w:val="724"/>
    <w:uiPriority w:val="99"/>
  </w:style>
  <w:style w:type="table" w:styleId="48">
    <w:name w:val="Table Grid"/>
    <w:basedOn w:val="7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9"/>
    <w:uiPriority w:val="99"/>
    <w:unhideWhenUsed/>
    <w:rPr>
      <w:vertAlign w:val="superscript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9"/>
    <w:uiPriority w:val="99"/>
    <w:semiHidden/>
    <w:unhideWhenUsed/>
    <w:rPr>
      <w:vertAlign w:val="superscript"/>
    </w:rPr>
  </w:style>
  <w:style w:type="paragraph" w:styleId="181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726"/>
    <w:uiPriority w:val="9"/>
    <w:qFormat/>
    <w:pPr>
      <w:ind w:firstLine="0"/>
      <w:spacing w:before="600" w:after="80"/>
      <w:pBdr>
        <w:bottom w:val="single" w:color="2F5496" w:themeColor="accent1" w:themeShade="BF" w:sz="12" w:space="1"/>
      </w:pBdr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4"/>
      <w:szCs w:val="24"/>
    </w:rPr>
  </w:style>
  <w:style w:type="paragraph" w:styleId="711">
    <w:name w:val="Heading 2"/>
    <w:basedOn w:val="709"/>
    <w:next w:val="709"/>
    <w:link w:val="727"/>
    <w:uiPriority w:val="9"/>
    <w:semiHidden/>
    <w:unhideWhenUsed/>
    <w:qFormat/>
    <w:pPr>
      <w:ind w:firstLine="0"/>
      <w:spacing w:before="200" w:after="80"/>
      <w:pBdr>
        <w:bottom w:val="single" w:color="4472C4" w:themeColor="accent1" w:sz="8" w:space="1"/>
      </w:pBdr>
      <w:outlineLvl w:val="1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712">
    <w:name w:val="Heading 3"/>
    <w:basedOn w:val="709"/>
    <w:next w:val="709"/>
    <w:link w:val="728"/>
    <w:uiPriority w:val="9"/>
    <w:semiHidden/>
    <w:unhideWhenUsed/>
    <w:qFormat/>
    <w:pPr>
      <w:ind w:firstLine="0"/>
      <w:spacing w:before="200" w:after="80"/>
      <w:pBdr>
        <w:bottom w:val="single" w:color="8EAADB" w:themeColor="accent1" w:themeTint="99" w:sz="4" w:space="1"/>
      </w:pBdr>
      <w:outlineLvl w:val="2"/>
    </w:pPr>
    <w:rPr>
      <w:rFonts w:asciiTheme="majorHAnsi" w:hAnsiTheme="majorHAnsi" w:eastAsiaTheme="majorEastAsia" w:cstheme="majorBidi"/>
      <w:color w:val="4472c4" w:themeColor="accent1"/>
      <w:sz w:val="24"/>
      <w:szCs w:val="24"/>
    </w:rPr>
  </w:style>
  <w:style w:type="paragraph" w:styleId="713">
    <w:name w:val="Heading 4"/>
    <w:basedOn w:val="709"/>
    <w:next w:val="709"/>
    <w:link w:val="729"/>
    <w:uiPriority w:val="9"/>
    <w:semiHidden/>
    <w:unhideWhenUsed/>
    <w:qFormat/>
    <w:pPr>
      <w:ind w:firstLine="0"/>
      <w:spacing w:before="200" w:after="80"/>
      <w:pBdr>
        <w:bottom w:val="single" w:color="B4C6E7" w:themeColor="accent1" w:themeTint="66" w:sz="4" w:space="2"/>
      </w:pBdr>
      <w:outlineLvl w:val="3"/>
    </w:pPr>
    <w:rPr>
      <w:rFonts w:asciiTheme="majorHAnsi" w:hAnsiTheme="majorHAnsi" w:eastAsiaTheme="majorEastAsia" w:cstheme="majorBidi"/>
      <w:i/>
      <w:iCs/>
      <w:color w:val="4472c4" w:themeColor="accent1"/>
      <w:sz w:val="24"/>
      <w:szCs w:val="24"/>
    </w:rPr>
  </w:style>
  <w:style w:type="paragraph" w:styleId="714">
    <w:name w:val="Heading 5"/>
    <w:basedOn w:val="709"/>
    <w:next w:val="709"/>
    <w:link w:val="730"/>
    <w:uiPriority w:val="9"/>
    <w:semiHidden/>
    <w:unhideWhenUsed/>
    <w:qFormat/>
    <w:pPr>
      <w:ind w:firstLine="0"/>
      <w:spacing w:before="200" w:after="80"/>
      <w:outlineLvl w:val="4"/>
    </w:pPr>
    <w:rPr>
      <w:rFonts w:asciiTheme="majorHAnsi" w:hAnsiTheme="majorHAnsi" w:eastAsiaTheme="majorEastAsia" w:cstheme="majorBidi"/>
      <w:color w:val="4472c4" w:themeColor="accent1"/>
    </w:rPr>
  </w:style>
  <w:style w:type="paragraph" w:styleId="715">
    <w:name w:val="Heading 6"/>
    <w:basedOn w:val="709"/>
    <w:next w:val="709"/>
    <w:link w:val="731"/>
    <w:uiPriority w:val="9"/>
    <w:semiHidden/>
    <w:unhideWhenUsed/>
    <w:qFormat/>
    <w:pPr>
      <w:ind w:firstLine="0"/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4472c4" w:themeColor="accent1"/>
    </w:rPr>
  </w:style>
  <w:style w:type="paragraph" w:styleId="716">
    <w:name w:val="Heading 7"/>
    <w:basedOn w:val="709"/>
    <w:next w:val="709"/>
    <w:link w:val="732"/>
    <w:uiPriority w:val="9"/>
    <w:semiHidden/>
    <w:unhideWhenUsed/>
    <w:qFormat/>
    <w:pPr>
      <w:ind w:firstLine="0"/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a5a5a5" w:themeColor="accent3"/>
      <w:sz w:val="20"/>
      <w:szCs w:val="20"/>
    </w:rPr>
  </w:style>
  <w:style w:type="paragraph" w:styleId="717">
    <w:name w:val="Heading 8"/>
    <w:basedOn w:val="709"/>
    <w:next w:val="709"/>
    <w:link w:val="733"/>
    <w:uiPriority w:val="9"/>
    <w:semiHidden/>
    <w:unhideWhenUsed/>
    <w:qFormat/>
    <w:pPr>
      <w:ind w:firstLine="0"/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a5a5a5" w:themeColor="accent3"/>
      <w:sz w:val="20"/>
      <w:szCs w:val="20"/>
    </w:rPr>
  </w:style>
  <w:style w:type="paragraph" w:styleId="718">
    <w:name w:val="Heading 9"/>
    <w:basedOn w:val="709"/>
    <w:next w:val="709"/>
    <w:link w:val="734"/>
    <w:uiPriority w:val="9"/>
    <w:semiHidden/>
    <w:unhideWhenUsed/>
    <w:qFormat/>
    <w:pPr>
      <w:ind w:firstLine="0"/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a5a5a5" w:themeColor="accent3"/>
      <w:sz w:val="20"/>
      <w:szCs w:val="20"/>
    </w:rPr>
  </w:style>
  <w:style w:type="character" w:styleId="719" w:default="1">
    <w:name w:val="Default Paragraph Font"/>
    <w:uiPriority w:val="1"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>
    <w:name w:val="Header"/>
    <w:basedOn w:val="709"/>
    <w:link w:val="7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3" w:customStyle="1">
    <w:name w:val="Верхний колонтитул Знак"/>
    <w:basedOn w:val="719"/>
    <w:link w:val="722"/>
    <w:uiPriority w:val="99"/>
  </w:style>
  <w:style w:type="paragraph" w:styleId="724">
    <w:name w:val="Footer"/>
    <w:basedOn w:val="709"/>
    <w:link w:val="7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5" w:customStyle="1">
    <w:name w:val="Нижний колонтитул Знак"/>
    <w:basedOn w:val="719"/>
    <w:link w:val="724"/>
    <w:uiPriority w:val="99"/>
  </w:style>
  <w:style w:type="character" w:styleId="726" w:customStyle="1">
    <w:name w:val="Заголовок 1 Знак"/>
    <w:basedOn w:val="719"/>
    <w:link w:val="710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4"/>
      <w:szCs w:val="24"/>
    </w:rPr>
  </w:style>
  <w:style w:type="character" w:styleId="727" w:customStyle="1">
    <w:name w:val="Заголовок 2 Знак"/>
    <w:basedOn w:val="719"/>
    <w:link w:val="71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728" w:customStyle="1">
    <w:name w:val="Заголовок 3 Знак"/>
    <w:basedOn w:val="719"/>
    <w:link w:val="712"/>
    <w:uiPriority w:val="9"/>
    <w:semiHidden/>
    <w:rPr>
      <w:rFonts w:asciiTheme="majorHAnsi" w:hAnsiTheme="majorHAnsi" w:eastAsiaTheme="majorEastAsia" w:cstheme="majorBidi"/>
      <w:color w:val="4472c4" w:themeColor="accent1"/>
      <w:sz w:val="24"/>
      <w:szCs w:val="24"/>
    </w:rPr>
  </w:style>
  <w:style w:type="character" w:styleId="729" w:customStyle="1">
    <w:name w:val="Заголовок 4 Знак"/>
    <w:basedOn w:val="719"/>
    <w:link w:val="713"/>
    <w:uiPriority w:val="9"/>
    <w:semiHidden/>
    <w:rPr>
      <w:rFonts w:asciiTheme="majorHAnsi" w:hAnsiTheme="majorHAnsi" w:eastAsiaTheme="majorEastAsia" w:cstheme="majorBidi"/>
      <w:i/>
      <w:iCs/>
      <w:color w:val="4472c4" w:themeColor="accent1"/>
      <w:sz w:val="24"/>
      <w:szCs w:val="24"/>
    </w:rPr>
  </w:style>
  <w:style w:type="character" w:styleId="730" w:customStyle="1">
    <w:name w:val="Заголовок 5 Знак"/>
    <w:basedOn w:val="719"/>
    <w:link w:val="714"/>
    <w:uiPriority w:val="9"/>
    <w:semiHidden/>
    <w:rPr>
      <w:rFonts w:asciiTheme="majorHAnsi" w:hAnsiTheme="majorHAnsi" w:eastAsiaTheme="majorEastAsia" w:cstheme="majorBidi"/>
      <w:color w:val="4472c4" w:themeColor="accent1"/>
    </w:rPr>
  </w:style>
  <w:style w:type="character" w:styleId="731" w:customStyle="1">
    <w:name w:val="Заголовок 6 Знак"/>
    <w:basedOn w:val="719"/>
    <w:link w:val="715"/>
    <w:uiPriority w:val="9"/>
    <w:semiHidden/>
    <w:rPr>
      <w:rFonts w:asciiTheme="majorHAnsi" w:hAnsiTheme="majorHAnsi" w:eastAsiaTheme="majorEastAsia" w:cstheme="majorBidi"/>
      <w:i/>
      <w:iCs/>
      <w:color w:val="4472c4" w:themeColor="accent1"/>
    </w:rPr>
  </w:style>
  <w:style w:type="character" w:styleId="732" w:customStyle="1">
    <w:name w:val="Заголовок 7 Знак"/>
    <w:basedOn w:val="719"/>
    <w:link w:val="716"/>
    <w:uiPriority w:val="9"/>
    <w:semiHidden/>
    <w:rPr>
      <w:rFonts w:asciiTheme="majorHAnsi" w:hAnsiTheme="majorHAnsi" w:eastAsiaTheme="majorEastAsia" w:cstheme="majorBidi"/>
      <w:b/>
      <w:bCs/>
      <w:color w:val="a5a5a5" w:themeColor="accent3"/>
      <w:sz w:val="20"/>
      <w:szCs w:val="20"/>
    </w:rPr>
  </w:style>
  <w:style w:type="character" w:styleId="733" w:customStyle="1">
    <w:name w:val="Заголовок 8 Знак"/>
    <w:basedOn w:val="719"/>
    <w:link w:val="717"/>
    <w:uiPriority w:val="9"/>
    <w:semiHidden/>
    <w:rPr>
      <w:rFonts w:asciiTheme="majorHAnsi" w:hAnsiTheme="majorHAnsi" w:eastAsiaTheme="majorEastAsia" w:cstheme="majorBidi"/>
      <w:b/>
      <w:bCs/>
      <w:i/>
      <w:iCs/>
      <w:color w:val="a5a5a5" w:themeColor="accent3"/>
      <w:sz w:val="20"/>
      <w:szCs w:val="20"/>
    </w:rPr>
  </w:style>
  <w:style w:type="character" w:styleId="734" w:customStyle="1">
    <w:name w:val="Заголовок 9 Знак"/>
    <w:basedOn w:val="719"/>
    <w:link w:val="718"/>
    <w:uiPriority w:val="9"/>
    <w:semiHidden/>
    <w:rPr>
      <w:rFonts w:asciiTheme="majorHAnsi" w:hAnsiTheme="majorHAnsi" w:eastAsiaTheme="majorEastAsia" w:cstheme="majorBidi"/>
      <w:i/>
      <w:iCs/>
      <w:color w:val="a5a5a5" w:themeColor="accent3"/>
      <w:sz w:val="20"/>
      <w:szCs w:val="20"/>
    </w:rPr>
  </w:style>
  <w:style w:type="paragraph" w:styleId="735">
    <w:name w:val="Caption"/>
    <w:basedOn w:val="709"/>
    <w:next w:val="709"/>
    <w:uiPriority w:val="35"/>
    <w:semiHidden/>
    <w:unhideWhenUsed/>
    <w:qFormat/>
    <w:rPr>
      <w:b/>
      <w:bCs/>
      <w:sz w:val="18"/>
      <w:szCs w:val="18"/>
    </w:rPr>
  </w:style>
  <w:style w:type="paragraph" w:styleId="736">
    <w:name w:val="Title"/>
    <w:basedOn w:val="709"/>
    <w:next w:val="709"/>
    <w:link w:val="737"/>
    <w:uiPriority w:val="10"/>
    <w:qFormat/>
    <w:pPr>
      <w:ind w:firstLine="0"/>
      <w:jc w:val="center"/>
      <w:pBdr>
        <w:top w:val="single" w:color="A1B8E1" w:themeColor="accent1" w:themeTint="7F" w:sz="8" w:space="10"/>
        <w:bottom w:val="single" w:color="A5A5A5" w:themeColor="accent3" w:sz="24" w:space="15"/>
      </w:pBdr>
    </w:pPr>
    <w:rPr>
      <w:rFonts w:asciiTheme="majorHAnsi" w:hAnsiTheme="majorHAnsi" w:eastAsiaTheme="majorEastAsia" w:cstheme="majorBidi"/>
      <w:i/>
      <w:iCs/>
      <w:color w:val="1f3763" w:themeColor="accent1" w:themeShade="7F"/>
      <w:sz w:val="60"/>
      <w:szCs w:val="60"/>
    </w:rPr>
  </w:style>
  <w:style w:type="character" w:styleId="737" w:customStyle="1">
    <w:name w:val="Заголовок Знак"/>
    <w:basedOn w:val="719"/>
    <w:link w:val="736"/>
    <w:uiPriority w:val="10"/>
    <w:rPr>
      <w:rFonts w:asciiTheme="majorHAnsi" w:hAnsiTheme="majorHAnsi" w:eastAsiaTheme="majorEastAsia" w:cstheme="majorBidi"/>
      <w:i/>
      <w:iCs/>
      <w:color w:val="1f3763" w:themeColor="accent1" w:themeShade="7F"/>
      <w:sz w:val="60"/>
      <w:szCs w:val="60"/>
    </w:rPr>
  </w:style>
  <w:style w:type="paragraph" w:styleId="738">
    <w:name w:val="Subtitle"/>
    <w:basedOn w:val="709"/>
    <w:next w:val="709"/>
    <w:link w:val="739"/>
    <w:uiPriority w:val="11"/>
    <w:qFormat/>
    <w:pPr>
      <w:ind w:firstLine="0"/>
      <w:jc w:val="right"/>
      <w:spacing w:before="200" w:after="900"/>
    </w:pPr>
    <w:rPr>
      <w:i/>
      <w:iCs/>
      <w:sz w:val="24"/>
      <w:szCs w:val="24"/>
    </w:rPr>
  </w:style>
  <w:style w:type="character" w:styleId="739" w:customStyle="1">
    <w:name w:val="Подзаголовок Знак"/>
    <w:basedOn w:val="719"/>
    <w:link w:val="738"/>
    <w:uiPriority w:val="11"/>
    <w:rPr>
      <w:i/>
      <w:iCs/>
      <w:sz w:val="24"/>
      <w:szCs w:val="24"/>
    </w:rPr>
  </w:style>
  <w:style w:type="character" w:styleId="740">
    <w:name w:val="Strong"/>
    <w:basedOn w:val="719"/>
    <w:uiPriority w:val="22"/>
    <w:qFormat/>
    <w:rPr>
      <w:b/>
      <w:bCs/>
      <w:spacing w:val="0"/>
    </w:rPr>
  </w:style>
  <w:style w:type="character" w:styleId="741">
    <w:name w:val="Emphasis"/>
    <w:uiPriority w:val="20"/>
    <w:qFormat/>
    <w:rPr>
      <w:b/>
      <w:bCs/>
      <w:i/>
      <w:iCs/>
      <w:color w:val="5a5a5a" w:themeColor="text1" w:themeTint="A5"/>
    </w:rPr>
  </w:style>
  <w:style w:type="paragraph" w:styleId="742">
    <w:name w:val="No Spacing"/>
    <w:basedOn w:val="709"/>
    <w:link w:val="743"/>
    <w:uiPriority w:val="1"/>
    <w:qFormat/>
    <w:pPr>
      <w:ind w:firstLine="0"/>
    </w:pPr>
  </w:style>
  <w:style w:type="character" w:styleId="743" w:customStyle="1">
    <w:name w:val="Без интервала Знак"/>
    <w:basedOn w:val="719"/>
    <w:link w:val="742"/>
    <w:uiPriority w:val="1"/>
  </w:style>
  <w:style w:type="paragraph" w:styleId="744">
    <w:name w:val="List Paragraph"/>
    <w:basedOn w:val="709"/>
    <w:uiPriority w:val="34"/>
    <w:qFormat/>
    <w:pPr>
      <w:contextualSpacing/>
      <w:ind w:left="720"/>
    </w:pPr>
  </w:style>
  <w:style w:type="paragraph" w:styleId="745">
    <w:name w:val="Quote"/>
    <w:basedOn w:val="709"/>
    <w:next w:val="709"/>
    <w:link w:val="746"/>
    <w:uiPriority w:val="29"/>
    <w:qFormat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746" w:customStyle="1">
    <w:name w:val="Цитата 2 Знак"/>
    <w:basedOn w:val="719"/>
    <w:link w:val="745"/>
    <w:uiPriority w:val="29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747">
    <w:name w:val="Intense Quote"/>
    <w:basedOn w:val="709"/>
    <w:next w:val="709"/>
    <w:link w:val="748"/>
    <w:uiPriority w:val="30"/>
    <w:qFormat/>
    <w:pPr>
      <w:ind w:left="1440" w:right="1440"/>
      <w:spacing w:before="320" w:after="320" w:line="300" w:lineRule="auto"/>
      <w:shd w:val="clear" w:color="auto" w:fill="4472c4" w:themeFill="accent1"/>
      <w:pBdr>
        <w:top w:val="single" w:color="B4C6E7" w:themeColor="accent1" w:themeTint="66" w:sz="12" w:space="10"/>
        <w:left w:val="single" w:color="4472C4" w:themeColor="accent1" w:sz="36" w:space="4"/>
        <w:bottom w:val="single" w:color="A5A5A5" w:themeColor="accent3" w:sz="24" w:space="10"/>
        <w:right w:val="single" w:color="4472C4" w:themeColor="accent1" w:sz="36" w:space="4"/>
      </w:pBdr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styleId="748" w:customStyle="1">
    <w:name w:val="Выделенная цитата Знак"/>
    <w:basedOn w:val="719"/>
    <w:link w:val="747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749">
    <w:name w:val="Subtle Emphasis"/>
    <w:uiPriority w:val="19"/>
    <w:qFormat/>
    <w:rPr>
      <w:i/>
      <w:iCs/>
      <w:color w:val="5a5a5a" w:themeColor="text1" w:themeTint="A5"/>
    </w:rPr>
  </w:style>
  <w:style w:type="character" w:styleId="750">
    <w:name w:val="Intense Emphasis"/>
    <w:uiPriority w:val="21"/>
    <w:qFormat/>
    <w:rPr>
      <w:b/>
      <w:bCs/>
      <w:i/>
      <w:iCs/>
      <w:color w:val="4472c4" w:themeColor="accent1"/>
      <w:sz w:val="22"/>
      <w:szCs w:val="22"/>
    </w:rPr>
  </w:style>
  <w:style w:type="character" w:styleId="751">
    <w:name w:val="Subtle Reference"/>
    <w:uiPriority w:val="31"/>
    <w:qFormat/>
    <w:rPr>
      <w:color w:val="auto"/>
      <w:u w:val="single"/>
    </w:rPr>
  </w:style>
  <w:style w:type="character" w:styleId="752">
    <w:name w:val="Intense Reference"/>
    <w:basedOn w:val="719"/>
    <w:uiPriority w:val="32"/>
    <w:qFormat/>
    <w:rPr>
      <w:b/>
      <w:bCs/>
      <w:color w:val="7b7b7b" w:themeColor="accent3" w:themeShade="BF"/>
      <w:u w:val="single"/>
    </w:rPr>
  </w:style>
  <w:style w:type="character" w:styleId="753">
    <w:name w:val="Book Title"/>
    <w:basedOn w:val="719"/>
    <w:uiPriority w:val="33"/>
    <w:qFormat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754">
    <w:name w:val="TOC Heading"/>
    <w:basedOn w:val="710"/>
    <w:next w:val="709"/>
    <w:uiPriority w:val="39"/>
    <w:semiHidden/>
    <w:unhideWhenUsed/>
    <w:qFormat/>
    <w:pPr>
      <w:outlineLvl w:val="9"/>
    </w:pPr>
  </w:style>
  <w:style w:type="character" w:styleId="755">
    <w:name w:val="Hyperlink"/>
    <w:basedOn w:val="719"/>
    <w:uiPriority w:val="99"/>
    <w:unhideWhenUsed/>
    <w:rPr>
      <w:color w:val="0563c1" w:themeColor="hyperlink"/>
      <w:u w:val="single"/>
    </w:rPr>
  </w:style>
  <w:style w:type="character" w:styleId="756" w:customStyle="1">
    <w:name w:val="Неразрешенное упоминание1"/>
    <w:basedOn w:val="719"/>
    <w:uiPriority w:val="99"/>
    <w:semiHidden/>
    <w:unhideWhenUsed/>
    <w:rPr>
      <w:color w:val="605e5c"/>
      <w:shd w:val="clear" w:color="auto" w:fill="e1dfdd"/>
    </w:rPr>
  </w:style>
  <w:style w:type="character" w:styleId="757">
    <w:name w:val="annotation reference"/>
    <w:basedOn w:val="719"/>
    <w:uiPriority w:val="99"/>
    <w:semiHidden/>
    <w:unhideWhenUsed/>
    <w:rPr>
      <w:sz w:val="16"/>
      <w:szCs w:val="16"/>
    </w:rPr>
  </w:style>
  <w:style w:type="paragraph" w:styleId="758">
    <w:name w:val="annotation text"/>
    <w:basedOn w:val="709"/>
    <w:link w:val="759"/>
    <w:uiPriority w:val="99"/>
    <w:unhideWhenUsed/>
    <w:rPr>
      <w:sz w:val="20"/>
      <w:szCs w:val="20"/>
    </w:rPr>
  </w:style>
  <w:style w:type="character" w:styleId="759" w:customStyle="1">
    <w:name w:val="Текст примечания Знак"/>
    <w:basedOn w:val="719"/>
    <w:link w:val="758"/>
    <w:uiPriority w:val="99"/>
    <w:rPr>
      <w:sz w:val="20"/>
      <w:szCs w:val="20"/>
    </w:rPr>
  </w:style>
  <w:style w:type="paragraph" w:styleId="760">
    <w:name w:val="annotation subject"/>
    <w:basedOn w:val="758"/>
    <w:next w:val="758"/>
    <w:link w:val="761"/>
    <w:uiPriority w:val="99"/>
    <w:semiHidden/>
    <w:unhideWhenUsed/>
    <w:rPr>
      <w:b/>
      <w:bCs/>
    </w:rPr>
  </w:style>
  <w:style w:type="character" w:styleId="761" w:customStyle="1">
    <w:name w:val="Тема примечания Знак"/>
    <w:basedOn w:val="759"/>
    <w:link w:val="760"/>
    <w:uiPriority w:val="99"/>
    <w:semiHidden/>
    <w:rPr>
      <w:b/>
      <w:bCs/>
      <w:sz w:val="20"/>
      <w:szCs w:val="20"/>
    </w:rPr>
  </w:style>
  <w:style w:type="paragraph" w:styleId="762">
    <w:name w:val="Revision"/>
    <w:hidden/>
    <w:uiPriority w:val="99"/>
    <w:semiHidden/>
    <w:pPr>
      <w:ind w:firstLine="0"/>
    </w:pPr>
  </w:style>
  <w:style w:type="paragraph" w:styleId="763">
    <w:name w:val="Balloon Text"/>
    <w:basedOn w:val="709"/>
    <w:link w:val="7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64" w:customStyle="1">
    <w:name w:val="Текст выноски Знак"/>
    <w:basedOn w:val="719"/>
    <w:link w:val="763"/>
    <w:uiPriority w:val="99"/>
    <w:semiHidden/>
    <w:rPr>
      <w:rFonts w:ascii="Segoe UI" w:hAnsi="Segoe UI" w:cs="Segoe UI"/>
      <w:sz w:val="18"/>
      <w:szCs w:val="18"/>
    </w:rPr>
  </w:style>
  <w:style w:type="character" w:styleId="765">
    <w:name w:val="Unresolved Mention"/>
    <w:basedOn w:val="71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raxs.ru/offer.php" TargetMode="External"/><Relationship Id="rId13" Type="http://schemas.openxmlformats.org/officeDocument/2006/relationships/hyperlink" Target="https://raxs.ru/offer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AAD5E28BD601634CA47DD47A18C3C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95D88-11E9-A24D-B570-B7A6CDB4F27D}"/>
      </w:docPartPr>
      <w:docPartBody>
        <w:p>
          <w:pPr>
            <w:pStyle w:val="1201"/>
          </w:pPr>
          <w:r>
            <w:rPr>
              <w:caps/>
              <w:color w:val="ffffff" w:themeColor="background1"/>
            </w:rPr>
            <w:t xml:space="preserve">[Имя автора]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197"/>
    <w:next w:val="1197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198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197"/>
    <w:next w:val="1197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198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197"/>
    <w:next w:val="1197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198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197"/>
    <w:next w:val="1197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198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197"/>
    <w:next w:val="1197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198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197"/>
    <w:next w:val="1197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198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197"/>
    <w:next w:val="1197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198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197"/>
    <w:next w:val="1197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198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197"/>
    <w:next w:val="1197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198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197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197"/>
    <w:next w:val="1197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198"/>
    <w:link w:val="271"/>
    <w:uiPriority w:val="10"/>
    <w:rPr>
      <w:sz w:val="48"/>
      <w:szCs w:val="48"/>
    </w:rPr>
  </w:style>
  <w:style w:type="paragraph" w:styleId="273">
    <w:name w:val="Subtitle"/>
    <w:basedOn w:val="1197"/>
    <w:next w:val="1197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198"/>
    <w:link w:val="273"/>
    <w:uiPriority w:val="11"/>
    <w:rPr>
      <w:sz w:val="24"/>
      <w:szCs w:val="24"/>
    </w:rPr>
  </w:style>
  <w:style w:type="paragraph" w:styleId="275">
    <w:name w:val="Quote"/>
    <w:basedOn w:val="1197"/>
    <w:next w:val="1197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197"/>
    <w:next w:val="1197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197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198"/>
    <w:link w:val="279"/>
    <w:uiPriority w:val="99"/>
  </w:style>
  <w:style w:type="paragraph" w:styleId="281">
    <w:name w:val="Footer"/>
    <w:basedOn w:val="1197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198"/>
    <w:link w:val="281"/>
    <w:uiPriority w:val="99"/>
  </w:style>
  <w:style w:type="paragraph" w:styleId="283">
    <w:name w:val="Caption"/>
    <w:basedOn w:val="1197"/>
    <w:next w:val="11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1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1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1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1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1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1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1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1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1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1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1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385">
    <w:name w:val="List Table 7 Colorful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389">
    <w:name w:val="List Table 7 Colorful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392">
    <w:name w:val="Lined - Accent 2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396">
    <w:name w:val="Lined - Accent 6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399">
    <w:name w:val="Bordered &amp; Lined - Accent 2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403">
    <w:name w:val="Bordered &amp; Lined - Accent 6"/>
    <w:basedOn w:val="11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1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197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198"/>
    <w:uiPriority w:val="99"/>
    <w:unhideWhenUsed/>
    <w:rPr>
      <w:vertAlign w:val="superscript"/>
    </w:rPr>
  </w:style>
  <w:style w:type="paragraph" w:styleId="415">
    <w:name w:val="endnote text"/>
    <w:basedOn w:val="1197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198"/>
    <w:uiPriority w:val="99"/>
    <w:semiHidden/>
    <w:unhideWhenUsed/>
    <w:rPr>
      <w:vertAlign w:val="superscript"/>
    </w:rPr>
  </w:style>
  <w:style w:type="paragraph" w:styleId="418">
    <w:name w:val="toc 1"/>
    <w:basedOn w:val="1197"/>
    <w:next w:val="1197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197"/>
    <w:next w:val="1197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197"/>
    <w:next w:val="1197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197"/>
    <w:next w:val="1197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197"/>
    <w:next w:val="1197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197"/>
    <w:next w:val="1197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197"/>
    <w:next w:val="1197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197"/>
    <w:next w:val="1197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197"/>
    <w:next w:val="1197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197"/>
    <w:next w:val="1197"/>
    <w:uiPriority w:val="99"/>
    <w:unhideWhenUsed/>
    <w:pPr>
      <w:spacing w:after="0" w:afterAutospacing="0"/>
    </w:pPr>
  </w:style>
  <w:style w:type="paragraph" w:styleId="1197" w:default="1">
    <w:name w:val="Normal"/>
    <w:qFormat/>
  </w:style>
  <w:style w:type="character" w:styleId="1198" w:default="1">
    <w:name w:val="Default Paragraph Font"/>
    <w:uiPriority w:val="1"/>
    <w:semiHidden/>
    <w:unhideWhenUsed/>
  </w:style>
  <w:style w:type="table" w:styleId="11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00" w:default="1">
    <w:name w:val="No List"/>
    <w:uiPriority w:val="99"/>
    <w:semiHidden/>
    <w:unhideWhenUsed/>
  </w:style>
  <w:style w:type="paragraph" w:styleId="1201" w:customStyle="1">
    <w:name w:val="AAD5E28BD601634CA47DD47A18C3CBC3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B1DC4-ED46-4812-87AA-DAACD125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«ПАЛ» ОГРН: 1157746533856, ИНН: 7725276866</dc:creator>
  <cp:keywords/>
  <dc:description/>
  <cp:lastModifiedBy>Резников Матвей</cp:lastModifiedBy>
  <cp:revision>6</cp:revision>
  <dcterms:created xsi:type="dcterms:W3CDTF">2024-06-07T10:33:00Z</dcterms:created>
  <dcterms:modified xsi:type="dcterms:W3CDTF">2024-06-13T06:33:10Z</dcterms:modified>
</cp:coreProperties>
</file>